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A4" w:rsidRPr="00800A96" w:rsidRDefault="00650CA4" w:rsidP="00650CA4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color w:val="FF0000"/>
          <w:sz w:val="20"/>
          <w:szCs w:val="20"/>
        </w:rPr>
        <w:t>TEF</w:t>
      </w:r>
      <w:proofErr w:type="spellEnd"/>
      <w:r w:rsidRPr="00800A96">
        <w:rPr>
          <w:rFonts w:ascii="Verdana" w:hAnsi="Verdana" w:cs="Verdana"/>
          <w:b/>
          <w:bCs/>
          <w:color w:val="FF0000"/>
          <w:sz w:val="20"/>
          <w:szCs w:val="20"/>
        </w:rPr>
        <w:t xml:space="preserve">– 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TE </w:t>
      </w:r>
      <w:smartTag w:uri="urn:schemas-microsoft-com:office:smarttags" w:element="PersonName">
        <w:smartTagPr>
          <w:attr w:name="ProductID" w:val="em Gest￣o Financeira"/>
        </w:smartTagPr>
        <w:r>
          <w:rPr>
            <w:rFonts w:ascii="Verdana" w:hAnsi="Verdana" w:cs="Verdana"/>
            <w:b/>
            <w:bCs/>
            <w:color w:val="FF0000"/>
            <w:sz w:val="20"/>
            <w:szCs w:val="20"/>
          </w:rPr>
          <w:t>em Gestão Financeira</w:t>
        </w:r>
      </w:smartTag>
    </w:p>
    <w:p w:rsidR="00650CA4" w:rsidRPr="00800A96" w:rsidRDefault="00650CA4" w:rsidP="00650CA4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800A96">
        <w:rPr>
          <w:rFonts w:ascii="Verdana" w:hAnsi="Verdana" w:cs="Verdana"/>
          <w:b/>
          <w:bCs/>
          <w:color w:val="FF0000"/>
          <w:sz w:val="20"/>
          <w:szCs w:val="20"/>
        </w:rPr>
        <w:t xml:space="preserve">Unidade 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>4</w:t>
      </w:r>
    </w:p>
    <w:p w:rsidR="00650CA4" w:rsidRDefault="00650CA4" w:rsidP="00650CA4">
      <w:pPr>
        <w:outlineLvl w:val="0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800A96">
        <w:rPr>
          <w:rFonts w:ascii="Verdana" w:hAnsi="Verdana" w:cs="Verdana"/>
          <w:b/>
          <w:bCs/>
          <w:color w:val="FF0000"/>
          <w:sz w:val="20"/>
          <w:szCs w:val="20"/>
        </w:rPr>
        <w:t>Módulo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 3 – Avaliação relativa ou por múltiplos</w:t>
      </w:r>
    </w:p>
    <w:p w:rsidR="00650CA4" w:rsidRPr="00325DAF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Convergência entre os métodos</w:t>
      </w:r>
    </w:p>
    <w:p w:rsidR="00650CA4" w:rsidRPr="00325DAF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Segundo </w:t>
      </w:r>
      <w:proofErr w:type="spellStart"/>
      <w:r>
        <w:rPr>
          <w:rFonts w:ascii="Verdana" w:hAnsi="Verdana" w:cs="Verdana"/>
        </w:rPr>
        <w:t>Damodaran</w:t>
      </w:r>
      <w:proofErr w:type="spellEnd"/>
      <w:r>
        <w:rPr>
          <w:rFonts w:ascii="Verdana" w:hAnsi="Verdana" w:cs="Verdana"/>
        </w:rPr>
        <w:t xml:space="preserve"> (2007) na </w:t>
      </w:r>
      <w:r w:rsidRPr="00455FC2">
        <w:rPr>
          <w:rFonts w:ascii="Verdana" w:hAnsi="Verdana" w:cs="Verdana"/>
          <w:b/>
          <w:bCs/>
        </w:rPr>
        <w:t>avaliação de fluxo de caixa descontado</w:t>
      </w:r>
      <w:r>
        <w:rPr>
          <w:rFonts w:ascii="Verdana" w:hAnsi="Verdana" w:cs="Verdana"/>
        </w:rPr>
        <w:t xml:space="preserve">, o objetivo é identificar o valor de um ativo considerando-se o seu fluxo de caixa, a taxa de crescimento e características de risco. Na </w:t>
      </w:r>
      <w:r w:rsidRPr="00455FC2">
        <w:rPr>
          <w:rFonts w:ascii="Verdana" w:hAnsi="Verdana" w:cs="Verdana"/>
          <w:b/>
          <w:bCs/>
        </w:rPr>
        <w:t>avaliação por múltiplos</w:t>
      </w:r>
      <w:r>
        <w:rPr>
          <w:rFonts w:ascii="Verdana" w:hAnsi="Verdana" w:cs="Verdana"/>
          <w:b/>
          <w:bCs/>
        </w:rPr>
        <w:t xml:space="preserve"> ou avaliação relativa</w:t>
      </w:r>
      <w:r>
        <w:rPr>
          <w:rFonts w:ascii="Verdana" w:hAnsi="Verdana" w:cs="Verdana"/>
        </w:rPr>
        <w:t xml:space="preserve">, o objetivo é avaliar um ativo com base na forma como ativos similares são precificados corretamente pelo mercado.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9549F7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9549F7">
        <w:rPr>
          <w:rFonts w:ascii="Verdana" w:hAnsi="Verdana" w:cs="Verdana"/>
          <w:color w:val="FF0000"/>
          <w:sz w:val="20"/>
          <w:szCs w:val="20"/>
        </w:rPr>
        <w:t>Ilustração: inserir imagem de gráficos e de dinheiro. Exemplo:</w:t>
      </w:r>
    </w:p>
    <w:p w:rsidR="00650CA4" w:rsidRDefault="00A35A1F" w:rsidP="00650CA4">
      <w:pPr>
        <w:jc w:val="center"/>
        <w:rPr>
          <w:rFonts w:ascii="Verdana" w:hAnsi="Verdana" w:cs="Verdana"/>
        </w:rPr>
      </w:pPr>
      <w:r>
        <w:rPr>
          <w:noProof/>
        </w:rPr>
        <w:drawing>
          <wp:inline distT="0" distB="0" distL="0" distR="0">
            <wp:extent cx="2857500" cy="2190750"/>
            <wp:effectExtent l="19050" t="0" r="0" b="0"/>
            <wp:docPr id="1" name="Imagem 1" descr="gr%C3%A1fico-e-dinheiro-thumb812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r%C3%A1fico-e-dinheiro-thumb81290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Na avaliação de fluxo de caixa descontado, tentamos estimar o valor intrínseco (valor teórico) de um ativo com base na sua capacidade de gerar fluxos de caixa no futuro.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Na avaliação relativa, julgamos quanto vale um ativo, analisando o que o mercado está pagando por ativos similares. Se o mercado estiver, em média, correto na forma como </w:t>
      </w:r>
      <w:proofErr w:type="gramStart"/>
      <w:r>
        <w:rPr>
          <w:rFonts w:ascii="Verdana" w:hAnsi="Verdana" w:cs="Verdana"/>
        </w:rPr>
        <w:t>precifica</w:t>
      </w:r>
      <w:proofErr w:type="gramEnd"/>
      <w:r>
        <w:rPr>
          <w:rFonts w:ascii="Verdana" w:hAnsi="Verdana" w:cs="Verdana"/>
        </w:rPr>
        <w:t xml:space="preserve"> os ativos, a avaliação de fluxo de caixa descontado e a avaliação relativa (por múltiplos) devem convergir. Se, contudo, o mercado estiver sistematicamente superestimando ou subestimando um grupo de ativos ou um segmento inteiro, as avaliações de fluxo de caixa descontado podem divergir das avaliações por múltiplos.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8B30FE" w:rsidRDefault="00650CA4" w:rsidP="00650CA4">
      <w:pPr>
        <w:rPr>
          <w:rFonts w:ascii="Verdana" w:hAnsi="Verdana" w:cs="Verdana"/>
          <w:color w:val="0000FF"/>
        </w:rPr>
      </w:pPr>
      <w:r w:rsidRPr="008B30FE">
        <w:rPr>
          <w:rFonts w:ascii="Verdana" w:hAnsi="Verdana" w:cs="Verdana"/>
          <w:color w:val="0000FF"/>
        </w:rPr>
        <w:t>Saiba +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FF6C7D">
        <w:tc>
          <w:tcPr>
            <w:tcW w:w="11138" w:type="dxa"/>
          </w:tcPr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Saiba +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Apesar de se privilegiar a </w:t>
            </w:r>
            <w:r w:rsidRPr="00FF6C7D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>avaliação de fluxo de caixa descontado</w:t>
            </w: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em salas de aula e na teoria, há evidência de que a maioria dos ativos é avaliada em bases </w:t>
            </w:r>
            <w:r w:rsidRPr="00FF6C7D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>relativas</w:t>
            </w: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. Por exemplo, é </w:t>
            </w:r>
            <w:proofErr w:type="gramStart"/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>comum analistas</w:t>
            </w:r>
            <w:proofErr w:type="gramEnd"/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serem convocados a defender as premissas das suas avaliações perante superiores, colegas e clientes. As avaliações de fluxo de caixa descontado, com as suas longas listas de premissas explícitas, são muito mais difíceis de defender do que as relativas, nas quais o valor utilizado por um múltiplo geralmente resulta daquilo que o mercado está pagando por empresas similares. 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Pr="004030D2" w:rsidRDefault="00650CA4" w:rsidP="00650CA4">
      <w:pPr>
        <w:rPr>
          <w:rFonts w:ascii="Verdana" w:hAnsi="Verdana" w:cs="Verdana"/>
          <w:b/>
          <w:bCs/>
        </w:rPr>
      </w:pPr>
      <w:r w:rsidRPr="004030D2">
        <w:rPr>
          <w:rFonts w:ascii="Verdana" w:hAnsi="Verdana" w:cs="Verdana"/>
          <w:b/>
          <w:bCs/>
        </w:rPr>
        <w:t>Quatro passos básicos no uso de múltiplos</w:t>
      </w:r>
    </w:p>
    <w:p w:rsidR="00650CA4" w:rsidRDefault="00650CA4" w:rsidP="00650CA4">
      <w:pPr>
        <w:rPr>
          <w:rFonts w:ascii="Verdana" w:hAnsi="Verdana" w:cs="Verdana"/>
          <w:b/>
          <w:bCs/>
          <w:color w:val="0000FF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Segundo </w:t>
      </w:r>
      <w:proofErr w:type="spellStart"/>
      <w:r w:rsidRPr="00EF201D">
        <w:rPr>
          <w:rFonts w:ascii="Verdana" w:hAnsi="Verdana" w:cs="Verdana"/>
        </w:rPr>
        <w:t>Damodaran</w:t>
      </w:r>
      <w:proofErr w:type="spellEnd"/>
      <w:r w:rsidRPr="00EF201D">
        <w:rPr>
          <w:rFonts w:ascii="Verdana" w:hAnsi="Verdana" w:cs="Verdana"/>
        </w:rPr>
        <w:t xml:space="preserve"> (2007) os múltiplos são de fácil uso e de fácil abuso. Há quatro passos básicos </w:t>
      </w:r>
      <w:r w:rsidR="00387657">
        <w:rPr>
          <w:rFonts w:ascii="Verdana" w:hAnsi="Verdana" w:cs="Verdana"/>
        </w:rPr>
        <w:t xml:space="preserve">para </w:t>
      </w:r>
      <w:r w:rsidRPr="00EF201D">
        <w:rPr>
          <w:rFonts w:ascii="Verdana" w:hAnsi="Verdana" w:cs="Verdana"/>
        </w:rPr>
        <w:t xml:space="preserve">a utilização prudente dos múltiplos e na identificação de abusos em mãos alheias. </w:t>
      </w:r>
    </w:p>
    <w:p w:rsidR="00650CA4" w:rsidRPr="009A2CD2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9A2CD2">
        <w:rPr>
          <w:rFonts w:ascii="Verdana" w:hAnsi="Verdana" w:cs="Verdana"/>
          <w:color w:val="FF0000"/>
          <w:sz w:val="20"/>
          <w:szCs w:val="20"/>
        </w:rPr>
        <w:t xml:space="preserve">Ilustração: </w:t>
      </w:r>
      <w:r>
        <w:rPr>
          <w:rFonts w:ascii="Verdana" w:hAnsi="Verdana" w:cs="Verdana"/>
          <w:color w:val="FF0000"/>
          <w:sz w:val="20"/>
          <w:szCs w:val="20"/>
        </w:rPr>
        <w:t>em cada item (passo) inserir imagem de uma pegada</w:t>
      </w:r>
      <w:r w:rsidRPr="009A2CD2">
        <w:rPr>
          <w:rFonts w:ascii="Verdana" w:hAnsi="Verdana" w:cs="Verdana"/>
          <w:color w:val="FF0000"/>
          <w:sz w:val="20"/>
          <w:szCs w:val="20"/>
        </w:rPr>
        <w:t>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Look w:val="00A0"/>
      </w:tblPr>
      <w:tblGrid>
        <w:gridCol w:w="817"/>
        <w:gridCol w:w="10321"/>
      </w:tblGrid>
      <w:tr w:rsidR="00650CA4" w:rsidRPr="00FF6C7D">
        <w:tc>
          <w:tcPr>
            <w:tcW w:w="817" w:type="dxa"/>
          </w:tcPr>
          <w:p w:rsidR="00650CA4" w:rsidRPr="00FF6C7D" w:rsidRDefault="00A35A1F" w:rsidP="00365B9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noProof/>
              </w:rPr>
              <w:drawing>
                <wp:inline distT="0" distB="0" distL="0" distR="0">
                  <wp:extent cx="352425" cy="628650"/>
                  <wp:effectExtent l="19050" t="0" r="9525" b="0"/>
                  <wp:docPr id="2" name="Imagem 2" descr="j04160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j04160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183" r="57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vAlign w:val="center"/>
          </w:tcPr>
          <w:p w:rsidR="00650CA4" w:rsidRPr="009E1F20" w:rsidRDefault="00650CA4" w:rsidP="00365B97">
            <w:pPr>
              <w:rPr>
                <w:rFonts w:ascii="Verdana" w:hAnsi="Verdana" w:cs="Verdana"/>
                <w:b/>
                <w:bCs/>
              </w:rPr>
            </w:pPr>
            <w:r w:rsidRPr="00FF6C7D">
              <w:rPr>
                <w:rFonts w:ascii="Verdana" w:hAnsi="Verdana" w:cs="Verdana"/>
                <w:b/>
                <w:bCs/>
              </w:rPr>
              <w:t>Primeiro passo: definição, consistência e uniformidade.</w:t>
            </w:r>
          </w:p>
        </w:tc>
      </w:tr>
    </w:tbl>
    <w:p w:rsidR="00650CA4" w:rsidRDefault="00650CA4" w:rsidP="00650CA4">
      <w:pPr>
        <w:rPr>
          <w:rFonts w:ascii="Verdana" w:hAnsi="Verdana" w:cs="Verdana"/>
        </w:rPr>
      </w:pPr>
      <w:r w:rsidRPr="00FF6C7D">
        <w:rPr>
          <w:rFonts w:ascii="Verdana" w:hAnsi="Verdana" w:cs="Verdana"/>
        </w:rPr>
        <w:t>Qual é o múltiplo mais aplicado em avaliações? É o múltiplo P/L. A equação desse múltiplo é a seguinte: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45"/>
      </w:tblGrid>
      <w:tr w:rsidR="00650CA4" w:rsidRPr="00636EAE">
        <w:trPr>
          <w:trHeight w:val="778"/>
          <w:jc w:val="center"/>
        </w:trPr>
        <w:tc>
          <w:tcPr>
            <w:tcW w:w="8745" w:type="dxa"/>
            <w:shd w:val="clear" w:color="auto" w:fill="FFFFCC"/>
            <w:vAlign w:val="center"/>
          </w:tcPr>
          <w:p w:rsidR="00650CA4" w:rsidRPr="00636EAE" w:rsidRDefault="00650CA4" w:rsidP="00365B97">
            <w:pPr>
              <w:jc w:val="center"/>
              <w:rPr>
                <w:rFonts w:ascii="Verdana" w:hAnsi="Verdana" w:cs="Verdana"/>
              </w:rPr>
            </w:pPr>
            <w:r w:rsidRPr="00636EAE">
              <w:rPr>
                <w:rFonts w:ascii="Verdana" w:hAnsi="Verdana" w:cs="Verdana"/>
              </w:rPr>
              <w:t>P/L = Preço de mercado da ação/Lucro por ação</w:t>
            </w:r>
          </w:p>
        </w:tc>
      </w:tr>
    </w:tbl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 equação em si é consenso entre os analistas, o problema localiza-se no valor a ser utilizado no numerador e no denominador da equação. </w:t>
      </w:r>
      <w:r w:rsidRPr="00E00871">
        <w:rPr>
          <w:rFonts w:ascii="Verdana" w:hAnsi="Verdana" w:cs="Verdana"/>
          <w:color w:val="0000FF"/>
        </w:rPr>
        <w:t>Exemplo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>Portanto, o</w:t>
      </w:r>
      <w:r w:rsidRPr="009A2CD2">
        <w:rPr>
          <w:rFonts w:ascii="Verdana" w:hAnsi="Verdana" w:cs="Verdana"/>
        </w:rPr>
        <w:t xml:space="preserve"> primeiro passo quando se discute uma avaliação baseada em um múltiplo é </w:t>
      </w:r>
      <w:r w:rsidRPr="00E00871">
        <w:rPr>
          <w:rFonts w:ascii="Verdana" w:hAnsi="Verdana" w:cs="Verdana"/>
          <w:b/>
          <w:bCs/>
        </w:rPr>
        <w:t>assegurar que todos na discussão estejam usando a mesma definição para esse múltiplo</w:t>
      </w:r>
      <w:r w:rsidRPr="009A2CD2">
        <w:rPr>
          <w:rFonts w:ascii="Verdana" w:hAnsi="Verdana" w:cs="Verdana"/>
        </w:rPr>
        <w:t>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FF6C7D">
        <w:tc>
          <w:tcPr>
            <w:tcW w:w="11138" w:type="dxa"/>
          </w:tcPr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Exemplo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Por exemplo, no numerador, o </w:t>
            </w:r>
            <w:r w:rsidRPr="00FF6C7D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>valor de mercado</w:t>
            </w: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(preço) </w:t>
            </w:r>
            <w:r w:rsidRPr="00FF6C7D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>corrente</w:t>
            </w:r>
            <w:r w:rsidRPr="00FF6C7D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(cotação do dia) é convencionalmente o valor utilizado, porém, existem analistas que utilizam o preço médio da ação dos últimos seis meses, outros utilizam o preço médio da ação dos últimos doze meses. Os lucros por ação no denominador podem ser aqueles do ano financeiro mais recente (resultando no P/L corrente), dos últimos quatro trimestres de lucros (resultando no P/L passado) ou nos lucros por ação esperados para o próximo ano financeiro (resultando no P/L futuro).</w:t>
            </w:r>
          </w:p>
          <w:p w:rsidR="00650CA4" w:rsidRPr="00FF6C7D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FF6C7D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Cada múltiplo possui um </w:t>
      </w:r>
      <w:r w:rsidRPr="00E00871">
        <w:rPr>
          <w:rFonts w:ascii="Verdana" w:hAnsi="Verdana" w:cs="Verdana"/>
          <w:b/>
          <w:bCs/>
        </w:rPr>
        <w:t>numerador</w:t>
      </w:r>
      <w:r>
        <w:rPr>
          <w:rFonts w:ascii="Verdana" w:hAnsi="Verdana" w:cs="Verdana"/>
        </w:rPr>
        <w:t xml:space="preserve"> e um </w:t>
      </w:r>
      <w:r w:rsidRPr="00E00871">
        <w:rPr>
          <w:rFonts w:ascii="Verdana" w:hAnsi="Verdana" w:cs="Verdana"/>
          <w:b/>
          <w:bCs/>
        </w:rPr>
        <w:t>denominador</w:t>
      </w:r>
      <w:r>
        <w:rPr>
          <w:rFonts w:ascii="Verdana" w:hAnsi="Verdana" w:cs="Verdana"/>
        </w:rPr>
        <w:t>. Existirá consistência no múltiplo se, por exemplo, sendo o numerador do múltiplo um valor do patrimônio líquido, o denominador desse múltiplo deverá ser também um valor do patrimônio líquido. Se o numerador do múltiplo for um valor de empresa, o denominador deverá ser igualmente um valor de empresa.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Para ilustrar, a razão P/L é um múltiplo de definição consistente, já que o numerador é o preço da ação (que é um valor do patrimônio líquido) e o denominador são os lucros por ação (que também é um valor do patrimônio líquido).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>Um exemplo de não consistência ocorre com o múltiplo “Preço/</w:t>
      </w:r>
      <w:proofErr w:type="spellStart"/>
      <w:r>
        <w:rPr>
          <w:rFonts w:ascii="Verdana" w:hAnsi="Verdana" w:cs="Verdana"/>
        </w:rPr>
        <w:t>Ebitda</w:t>
      </w:r>
      <w:proofErr w:type="spellEnd"/>
      <w:r>
        <w:rPr>
          <w:rFonts w:ascii="Verdana" w:hAnsi="Verdana" w:cs="Verdana"/>
        </w:rPr>
        <w:t xml:space="preserve">”, um múltiplo que tem conquistado adeptos nos últimos anos entre os analistas. O seu numerador é um valor do patrimônio líquido e o denominador, um indicador dos lucros da empresa.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Na avaliação relativa, o múltiplo é calculado para todas as empresas de um grupo e depois comparado entre essas empresas para se julgar quais estão precificadas a maior e quais a menor. 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163E67">
        <w:trPr>
          <w:trHeight w:val="1196"/>
        </w:trPr>
        <w:tc>
          <w:tcPr>
            <w:tcW w:w="11138" w:type="dxa"/>
            <w:shd w:val="clear" w:color="auto" w:fill="FFFFCC"/>
            <w:vAlign w:val="center"/>
          </w:tcPr>
          <w:p w:rsidR="00650CA4" w:rsidRPr="00163E67" w:rsidRDefault="00650CA4" w:rsidP="00365B97">
            <w:pPr>
              <w:ind w:left="14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Para que essa comparação tenha algum mérito, o múltiplo deve ser definido de maneira </w:t>
            </w:r>
            <w:r w:rsidRPr="00163E67">
              <w:rPr>
                <w:rFonts w:ascii="Verdana" w:hAnsi="Verdana" w:cs="Verdana"/>
                <w:b/>
                <w:bCs/>
              </w:rPr>
              <w:t>uniforme</w:t>
            </w:r>
            <w:r>
              <w:rPr>
                <w:rFonts w:ascii="Verdana" w:hAnsi="Verdana" w:cs="Verdana"/>
              </w:rPr>
              <w:t xml:space="preserve"> entre todas as empresas do grupo. Assim, se o P/L passado for utilizado para uma empresa, terá de sê-lo para todas as outras também. </w:t>
            </w:r>
          </w:p>
        </w:tc>
      </w:tr>
    </w:tbl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bookmarkStart w:id="0" w:name="OLE_LINK1"/>
      <w:bookmarkStart w:id="1" w:name="OLE_LINK2"/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Look w:val="00A0"/>
      </w:tblPr>
      <w:tblGrid>
        <w:gridCol w:w="817"/>
        <w:gridCol w:w="10321"/>
      </w:tblGrid>
      <w:tr w:rsidR="00650CA4" w:rsidRPr="00FF6C7D">
        <w:tc>
          <w:tcPr>
            <w:tcW w:w="817" w:type="dxa"/>
          </w:tcPr>
          <w:p w:rsidR="00650CA4" w:rsidRPr="00FF6C7D" w:rsidRDefault="00A35A1F" w:rsidP="00365B9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noProof/>
              </w:rPr>
              <w:drawing>
                <wp:inline distT="0" distB="0" distL="0" distR="0">
                  <wp:extent cx="352425" cy="628650"/>
                  <wp:effectExtent l="19050" t="0" r="9525" b="0"/>
                  <wp:docPr id="3" name="Imagem 3" descr="j04160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j04160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183" r="57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vAlign w:val="center"/>
          </w:tcPr>
          <w:p w:rsidR="00650CA4" w:rsidRPr="00FF6C7D" w:rsidRDefault="00650CA4" w:rsidP="00365B97">
            <w:pPr>
              <w:rPr>
                <w:rFonts w:ascii="Verdana" w:hAnsi="Verdana" w:cs="Verdana"/>
                <w:b/>
                <w:bCs/>
              </w:rPr>
            </w:pPr>
            <w:r w:rsidRPr="00FF6C7D">
              <w:rPr>
                <w:rFonts w:ascii="Verdana" w:hAnsi="Verdana" w:cs="Verdana"/>
                <w:b/>
                <w:bCs/>
              </w:rPr>
              <w:t xml:space="preserve">Segundo passo: </w:t>
            </w:r>
            <w:proofErr w:type="gramStart"/>
            <w:r w:rsidRPr="00FF6C7D">
              <w:rPr>
                <w:rFonts w:ascii="Verdana" w:hAnsi="Verdana" w:cs="Verdana"/>
                <w:b/>
                <w:bCs/>
              </w:rPr>
              <w:t>noção de como os múltiplos variam</w:t>
            </w:r>
            <w:proofErr w:type="gramEnd"/>
            <w:r w:rsidRPr="00FF6C7D">
              <w:rPr>
                <w:rFonts w:ascii="Verdana" w:hAnsi="Verdana" w:cs="Verdana"/>
                <w:b/>
                <w:bCs/>
              </w:rPr>
              <w:t xml:space="preserve"> entre as empresas no mercado.</w:t>
            </w:r>
          </w:p>
        </w:tc>
      </w:tr>
    </w:tbl>
    <w:bookmarkEnd w:id="0"/>
    <w:bookmarkEnd w:id="1"/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Quando se usa um múltiplo é sempre útil ter noção sobre o valor alto, baixo ou típico desse múltiplo no mercado. Muitos analistas que usam múltiplos possuem foco setorial e uma boa noção como diferentes empresas nos seus segmentos classificam-se em múltiplos específicos. O que geralmente falta, entretanto, é a percepção de como o múltiplo é distribuído no mercado todo. Por que um analista de software se importaria com as razões P/L de ações de serviços públicos? Tanto as ações de software quanto os de serviço público concorrem pelo mesmo real (R$) de investimento, portanto, de certa forma, devem jogar pelas mesmas regras.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O investidor que já rastreou o mercado por um período sabe que os múltiplos mudam ao longo do tempo para todo o mercado e para segmentos individualizados. Por que os múltiplos mudam com o tempo? </w:t>
      </w:r>
      <w:r w:rsidRPr="00FE7257">
        <w:rPr>
          <w:rFonts w:ascii="Verdana" w:hAnsi="Verdana" w:cs="Verdana"/>
          <w:color w:val="0000FF"/>
        </w:rPr>
        <w:t>Veja a resposta</w:t>
      </w:r>
      <w:r>
        <w:rPr>
          <w:rFonts w:ascii="Verdana" w:hAnsi="Verdana" w:cs="Verdana"/>
        </w:rPr>
        <w:t>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FE7257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FE7257">
        <w:rPr>
          <w:rFonts w:ascii="Verdana" w:hAnsi="Verdana" w:cs="Verdana"/>
          <w:color w:val="FF0000"/>
          <w:sz w:val="20"/>
          <w:szCs w:val="20"/>
        </w:rPr>
        <w:t>Ilustração:</w:t>
      </w:r>
      <w:r>
        <w:rPr>
          <w:rFonts w:ascii="Verdana" w:hAnsi="Verdana" w:cs="Verdana"/>
          <w:color w:val="FF0000"/>
          <w:sz w:val="20"/>
          <w:szCs w:val="20"/>
        </w:rPr>
        <w:t xml:space="preserve"> inserir imagem de um gráfico ora ascendente, ora descendente e um investidor com cara de dúvidas, sem entender o que está acontecendo.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>Do ponto de vista prático, quais são as consequências? A primeira é que as comparações de múltiplos no decorrer do tempo estão repletas de perigos. A segunda é que as avaliações relativas têm vida curta. Uma ação pode parecer barata em relação a empresas comparáveis hoje, mas essa análise pode mudar radicalmente nos próximos meses. Avaliações intrínsecas são inerentemente mais estáveis do que as avaliações relativas.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E12352">
        <w:tc>
          <w:tcPr>
            <w:tcW w:w="11138" w:type="dxa"/>
          </w:tcPr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>Veja a resposta</w:t>
            </w:r>
          </w:p>
          <w:p w:rsidR="00650CA4" w:rsidRPr="00E12352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Parte da alteração pode ser atribuída aos fundamentos. À medida que as taxas de juros e o crescimento econômico se modificam com o tempo, a precificação das ações mudará para refletir essas alterações. Por exemplo, quando os investidores tornam-se mais </w:t>
            </w:r>
            <w:proofErr w:type="gramStart"/>
            <w:r w:rsidRPr="00E12352">
              <w:rPr>
                <w:rFonts w:ascii="Verdana" w:hAnsi="Verdana" w:cs="Verdana"/>
                <w:color w:val="0000FF"/>
                <w:sz w:val="20"/>
                <w:szCs w:val="20"/>
              </w:rPr>
              <w:t>avessos ao risco – o</w:t>
            </w:r>
            <w:proofErr w:type="gramEnd"/>
            <w:r w:rsidRPr="00E12352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que tende a ocorrer em períodos de recessão -, os múltiplos pagos pelas ações diminuem.</w:t>
            </w:r>
          </w:p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Look w:val="00A0"/>
      </w:tblPr>
      <w:tblGrid>
        <w:gridCol w:w="817"/>
        <w:gridCol w:w="10321"/>
      </w:tblGrid>
      <w:tr w:rsidR="00650CA4" w:rsidRPr="00FF6C7D">
        <w:tc>
          <w:tcPr>
            <w:tcW w:w="817" w:type="dxa"/>
          </w:tcPr>
          <w:p w:rsidR="00650CA4" w:rsidRPr="00FF6C7D" w:rsidRDefault="00A35A1F" w:rsidP="00365B9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noProof/>
              </w:rPr>
              <w:drawing>
                <wp:inline distT="0" distB="0" distL="0" distR="0">
                  <wp:extent cx="352425" cy="628650"/>
                  <wp:effectExtent l="19050" t="0" r="9525" b="0"/>
                  <wp:docPr id="4" name="Imagem 11" descr="j04160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j04160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183" r="57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vAlign w:val="center"/>
          </w:tcPr>
          <w:p w:rsidR="00650CA4" w:rsidRPr="00FF6C7D" w:rsidRDefault="00650CA4" w:rsidP="00365B97">
            <w:pPr>
              <w:rPr>
                <w:rFonts w:ascii="Verdana" w:hAnsi="Verdana" w:cs="Verdana"/>
                <w:b/>
                <w:bCs/>
              </w:rPr>
            </w:pPr>
            <w:r w:rsidRPr="00FF6C7D">
              <w:rPr>
                <w:rFonts w:ascii="Verdana" w:hAnsi="Verdana" w:cs="Verdana"/>
                <w:b/>
                <w:bCs/>
              </w:rPr>
              <w:t xml:space="preserve">Terceiro passo: </w:t>
            </w:r>
            <w:proofErr w:type="gramStart"/>
            <w:r w:rsidRPr="00FF6C7D">
              <w:rPr>
                <w:rFonts w:ascii="Verdana" w:hAnsi="Verdana" w:cs="Verdana"/>
                <w:b/>
                <w:bCs/>
              </w:rPr>
              <w:t>identificação das variáveis fundamentais que determinam cada múltiplo e de como as alterações nesses fundamentos afetam</w:t>
            </w:r>
            <w:proofErr w:type="gramEnd"/>
            <w:r w:rsidRPr="00FF6C7D">
              <w:rPr>
                <w:rFonts w:ascii="Verdana" w:hAnsi="Verdana" w:cs="Verdana"/>
                <w:b/>
                <w:bCs/>
              </w:rPr>
              <w:t xml:space="preserve"> o valor do múltiplo.</w:t>
            </w:r>
          </w:p>
        </w:tc>
      </w:tr>
    </w:tbl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Na avaliação de fluxo de caixa descontado o valor de uma empresa é uma função de três variáveis: </w:t>
      </w: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4.8pt;margin-top:6.5pt;width:168pt;height:39pt;z-index:251656192" fillcolor="#ccf" strokecolor="#ccf">
            <v:textbox>
              <w:txbxContent>
                <w:p w:rsidR="00BD54F5" w:rsidRDefault="00BD54F5" w:rsidP="00650CA4">
                  <w:pPr>
                    <w:jc w:val="center"/>
                  </w:pPr>
                  <w:proofErr w:type="gramStart"/>
                  <w:r>
                    <w:rPr>
                      <w:rFonts w:ascii="Verdana" w:hAnsi="Verdana" w:cs="Verdana"/>
                    </w:rPr>
                    <w:t>1</w:t>
                  </w:r>
                  <w:proofErr w:type="gramEnd"/>
                  <w:r>
                    <w:rPr>
                      <w:rFonts w:ascii="Verdana" w:hAnsi="Verdana" w:cs="Verdana"/>
                    </w:rPr>
                    <w:t>) a sua capacidade de gerar fluxos de caixa</w:t>
                  </w:r>
                </w:p>
              </w:txbxContent>
            </v:textbox>
          </v:shape>
        </w:pic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pict>
          <v:oval id="_s1029" o:spid="_x0000_s1026" style="position:absolute;margin-left:187.3pt;margin-top:8.75pt;width:118.7pt;height:108.9pt;z-index:251653120;v-text-anchor:middle" o:dgmnodekind="0" fillcolor="#339" strokecolor="#339" strokeweight=".1297mm">
            <v:fill opacity=".5"/>
            <o:lock v:ext="edit" text="t"/>
          </v:oval>
        </w:pic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pict>
          <v:oval id="_s1033" o:spid="_x0000_s1028" style="position:absolute;margin-left:164.8pt;margin-top:13.2pt;width:118.7pt;height:108.9pt;z-index:251655168;v-text-anchor:middle" o:dgmnodekind="0" fillcolor="#9c0" strokecolor="#9c0" strokeweight=".1297mm">
            <v:fill opacity=".5"/>
            <o:lock v:ext="edit" text="t"/>
          </v:oval>
        </w:pict>
      </w:r>
      <w:r w:rsidRPr="0039425C">
        <w:rPr>
          <w:noProof/>
        </w:rPr>
        <w:pict>
          <v:oval id="_s1031" o:spid="_x0000_s1027" style="position:absolute;margin-left:214.1pt;margin-top:13.2pt;width:118.7pt;height:108.9pt;z-index:251654144;v-text-anchor:middle" o:dgmnodekind="0" fillcolor="#099" strokecolor="#099" strokeweight=".1297mm">
            <v:fill opacity=".5"/>
            <o:lock v:ext="edit" text="t"/>
          </v:oval>
        </w:pic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pict>
          <v:shape id="_x0000_s1031" type="#_x0000_t202" style="position:absolute;margin-left:341.7pt;margin-top:2.3pt;width:131.25pt;height:71.25pt;z-index:251658240" fillcolor="#3cc" strokecolor="#3cc">
            <v:textbox style="mso-next-textbox:#_x0000_s1031">
              <w:txbxContent>
                <w:p w:rsidR="00BD54F5" w:rsidRDefault="00BD54F5" w:rsidP="00650CA4">
                  <w:pPr>
                    <w:jc w:val="center"/>
                  </w:pPr>
                  <w:proofErr w:type="gramStart"/>
                  <w:r>
                    <w:rPr>
                      <w:rFonts w:ascii="Verdana" w:hAnsi="Verdana" w:cs="Verdana"/>
                    </w:rPr>
                    <w:t>3</w:t>
                  </w:r>
                  <w:proofErr w:type="gramEnd"/>
                  <w:r>
                    <w:rPr>
                      <w:rFonts w:ascii="Verdana" w:hAnsi="Verdana" w:cs="Verdana"/>
                    </w:rPr>
                    <w:t>) a incerteza associada a esses fluxos de caixa</w:t>
                  </w:r>
                </w:p>
              </w:txbxContent>
            </v:textbox>
          </v:shape>
        </w:pict>
      </w:r>
      <w:r w:rsidRPr="0039425C">
        <w:rPr>
          <w:noProof/>
        </w:rPr>
        <w:pict>
          <v:shape id="_x0000_s1030" type="#_x0000_t202" style="position:absolute;margin-left:25.2pt;margin-top:2.3pt;width:131.25pt;height:71.25pt;z-index:251657216" fillcolor="#cbe37d" strokecolor="#cbe37d">
            <v:textbox style="mso-next-textbox:#_x0000_s1030">
              <w:txbxContent>
                <w:p w:rsidR="00BD54F5" w:rsidRDefault="00BD54F5" w:rsidP="00650CA4">
                  <w:pPr>
                    <w:jc w:val="center"/>
                  </w:pPr>
                  <w:proofErr w:type="gramStart"/>
                  <w:r>
                    <w:rPr>
                      <w:rFonts w:ascii="Verdana" w:hAnsi="Verdana" w:cs="Verdana"/>
                    </w:rPr>
                    <w:t>2</w:t>
                  </w:r>
                  <w:proofErr w:type="gramEnd"/>
                  <w:r>
                    <w:rPr>
                      <w:rFonts w:ascii="Verdana" w:hAnsi="Verdana" w:cs="Verdana"/>
                    </w:rPr>
                    <w:t>) o seu crescimento esperado nesses fluxos de caixa</w:t>
                  </w:r>
                </w:p>
              </w:txbxContent>
            </v:textbox>
          </v:shape>
        </w:pict>
      </w: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pict>
          <v:shape id="_x0000_s1032" type="#_x0000_t202" style="position:absolute;margin-left:219.55pt;margin-top:-.3pt;width:55.5pt;height:23.75pt;z-index:251659264" fillcolor="#f2dbdb" strokecolor="#f2dbdb">
            <v:textbox>
              <w:txbxContent>
                <w:p w:rsidR="00BD54F5" w:rsidRPr="00236857" w:rsidRDefault="00BD54F5" w:rsidP="00650CA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3685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VALOR</w:t>
                  </w:r>
                </w:p>
              </w:txbxContent>
            </v:textbox>
          </v:shape>
        </w:pic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Pr="00D92E70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Cada </w:t>
      </w:r>
      <w:r w:rsidRPr="009E1F20">
        <w:rPr>
          <w:rFonts w:ascii="Verdana" w:hAnsi="Verdana" w:cs="Verdana"/>
        </w:rPr>
        <w:t>múltiplo</w:t>
      </w:r>
      <w:r>
        <w:rPr>
          <w:rFonts w:ascii="Verdana" w:hAnsi="Verdana" w:cs="Verdana"/>
        </w:rPr>
        <w:t xml:space="preserve">, seja de lucros, receitas ou valor contábil é uma função das mesmas três </w:t>
      </w:r>
      <w:r w:rsidRPr="009E1F20">
        <w:rPr>
          <w:rFonts w:ascii="Verdana" w:hAnsi="Verdana" w:cs="Verdana"/>
          <w:color w:val="0000FF"/>
        </w:rPr>
        <w:t>variáveis</w:t>
      </w:r>
      <w:r>
        <w:rPr>
          <w:rFonts w:ascii="Verdana" w:hAnsi="Verdana" w:cs="Verdana"/>
        </w:rPr>
        <w:t xml:space="preserve">: </w:t>
      </w:r>
      <w:r w:rsidRPr="009E1F20">
        <w:rPr>
          <w:rFonts w:ascii="Verdana" w:hAnsi="Verdana" w:cs="Verdana"/>
          <w:b/>
          <w:bCs/>
        </w:rPr>
        <w:t>risco</w:t>
      </w:r>
      <w:r>
        <w:rPr>
          <w:rFonts w:ascii="Verdana" w:hAnsi="Verdana" w:cs="Verdana"/>
        </w:rPr>
        <w:t xml:space="preserve">, </w:t>
      </w:r>
      <w:r w:rsidRPr="009E1F20">
        <w:rPr>
          <w:rFonts w:ascii="Verdana" w:hAnsi="Verdana" w:cs="Verdana"/>
          <w:b/>
          <w:bCs/>
        </w:rPr>
        <w:t>crescimento</w:t>
      </w:r>
      <w:r>
        <w:rPr>
          <w:rFonts w:ascii="Verdana" w:hAnsi="Verdana" w:cs="Verdana"/>
        </w:rPr>
        <w:t xml:space="preserve"> e </w:t>
      </w:r>
      <w:r w:rsidRPr="009E1F20">
        <w:rPr>
          <w:rFonts w:ascii="Verdana" w:hAnsi="Verdana" w:cs="Verdana"/>
          <w:b/>
          <w:bCs/>
        </w:rPr>
        <w:t>potencial de geração de fluxo de caixa</w:t>
      </w:r>
      <w:r>
        <w:rPr>
          <w:rFonts w:ascii="Verdana" w:hAnsi="Verdana" w:cs="Verdana"/>
        </w:rPr>
        <w:t>.  De forma intuitiva, portanto, as empresas com taxas de crescimento mais elevadas, menor risco e maior potencial de geração de fluxo de caixa devem negociar a múltiplos mais altos que outras com menor crescimento, maior risco e menor potencial de fluxo de caixa.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Os indicadores específicos de crescimento, risco e potencial de </w:t>
      </w:r>
      <w:proofErr w:type="gramStart"/>
      <w:r>
        <w:rPr>
          <w:rFonts w:ascii="Verdana" w:hAnsi="Verdana" w:cs="Verdana"/>
        </w:rPr>
        <w:t>geração de fluxo de caixa utilizados</w:t>
      </w:r>
      <w:proofErr w:type="gramEnd"/>
      <w:r>
        <w:rPr>
          <w:rFonts w:ascii="Verdana" w:hAnsi="Verdana" w:cs="Verdana"/>
        </w:rPr>
        <w:t xml:space="preserve"> variarão de múltiplo para múltiplo. Conhecer os fundamentos que determinam um múltiplo é útil como primeiro passo, mas compreender como o múltiplo muda à medida que os fundamentos se alteram é tão importante quanto seu uso.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E12352">
        <w:tc>
          <w:tcPr>
            <w:tcW w:w="11138" w:type="dxa"/>
          </w:tcPr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Link </w:t>
            </w:r>
          </w:p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proofErr w:type="gramStart"/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>variáveis</w:t>
            </w:r>
            <w:proofErr w:type="gramEnd"/>
          </w:p>
          <w:p w:rsidR="00650CA4" w:rsidRPr="00E12352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Embora as variáveis que determinam um múltiplo possam ser extraídas de um modelo de fluxo de caixa descontado e a relação entre cada variável e o múltiplo possa ser desenvolvido mantendo-se tudo o mais constante e aplicando-se perguntas de causa e efeito, há uma variável dominante quando se trata de explicar cada múltiplo (e não é a mesma variável para cada múltiplo). Essa variável, chamada </w:t>
            </w:r>
            <w:r w:rsidRPr="00E12352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>variável companheira</w:t>
            </w:r>
            <w:r w:rsidRPr="00E12352">
              <w:rPr>
                <w:rFonts w:ascii="Verdana" w:hAnsi="Verdana" w:cs="Verdana"/>
                <w:color w:val="0000FF"/>
                <w:sz w:val="20"/>
                <w:szCs w:val="20"/>
              </w:rPr>
              <w:t>, é crucial para o uso prudente dos múltiplos ao se julgarem avaliações e pode ser identificada pela busca da variável que melhor explique as diferenças entre as empresas, utilizando-se um múltiplo em particular.</w:t>
            </w:r>
          </w:p>
          <w:p w:rsidR="00650CA4" w:rsidRPr="00E12352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E12352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Look w:val="00A0"/>
      </w:tblPr>
      <w:tblGrid>
        <w:gridCol w:w="817"/>
        <w:gridCol w:w="10321"/>
      </w:tblGrid>
      <w:tr w:rsidR="00650CA4" w:rsidRPr="00FF6C7D">
        <w:tc>
          <w:tcPr>
            <w:tcW w:w="817" w:type="dxa"/>
          </w:tcPr>
          <w:p w:rsidR="00650CA4" w:rsidRPr="00FF6C7D" w:rsidRDefault="00A35A1F" w:rsidP="00365B9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noProof/>
              </w:rPr>
              <w:drawing>
                <wp:inline distT="0" distB="0" distL="0" distR="0">
                  <wp:extent cx="352425" cy="628650"/>
                  <wp:effectExtent l="19050" t="0" r="9525" b="0"/>
                  <wp:docPr id="5" name="Imagem 6" descr="j041601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j041601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183" r="57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vAlign w:val="center"/>
          </w:tcPr>
          <w:p w:rsidR="00650CA4" w:rsidRPr="00FF6C7D" w:rsidRDefault="00650CA4" w:rsidP="00365B97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Quarto</w:t>
            </w:r>
            <w:r w:rsidRPr="00FF6C7D">
              <w:rPr>
                <w:rFonts w:ascii="Verdana" w:hAnsi="Verdana" w:cs="Verdana"/>
                <w:b/>
                <w:bCs/>
              </w:rPr>
              <w:t xml:space="preserve"> passo: identificação das </w:t>
            </w:r>
            <w:r>
              <w:rPr>
                <w:rFonts w:ascii="Verdana" w:hAnsi="Verdana" w:cs="Verdana"/>
                <w:b/>
                <w:bCs/>
              </w:rPr>
              <w:t>empresas certas para comparação, e controle das diferenças que possam persistir entre elas.</w:t>
            </w:r>
          </w:p>
        </w:tc>
      </w:tr>
    </w:tbl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56411">
        <w:rPr>
          <w:rFonts w:ascii="Verdana" w:hAnsi="Verdana" w:cs="Verdana"/>
        </w:rPr>
        <w:t xml:space="preserve">Quando se usam múltiplos, eles tendem a ser utilizados em conjunto com </w:t>
      </w:r>
      <w:r w:rsidRPr="00777B83">
        <w:rPr>
          <w:rFonts w:ascii="Verdana" w:hAnsi="Verdana" w:cs="Verdana"/>
          <w:b/>
          <w:bCs/>
        </w:rPr>
        <w:t>empresas comparáveis</w:t>
      </w:r>
      <w:r w:rsidRPr="00E56411">
        <w:rPr>
          <w:rFonts w:ascii="Verdana" w:hAnsi="Verdana" w:cs="Verdana"/>
        </w:rPr>
        <w:t xml:space="preserve">, para se determinar o valor de uma empresa ou de seu patrimônio líquido. </w:t>
      </w: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br w:type="page"/>
      </w: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915338">
        <w:rPr>
          <w:rFonts w:ascii="Verdana" w:hAnsi="Verdana" w:cs="Verdana"/>
          <w:color w:val="FF0000"/>
          <w:sz w:val="20"/>
          <w:szCs w:val="20"/>
        </w:rPr>
        <w:lastRenderedPageBreak/>
        <w:t>Ilustração: inserir imagem d</w:t>
      </w:r>
      <w:r>
        <w:rPr>
          <w:rFonts w:ascii="Verdana" w:hAnsi="Verdana" w:cs="Verdana"/>
          <w:color w:val="FF0000"/>
          <w:sz w:val="20"/>
          <w:szCs w:val="20"/>
        </w:rPr>
        <w:t>e busto d</w:t>
      </w:r>
      <w:r w:rsidRPr="00915338">
        <w:rPr>
          <w:rFonts w:ascii="Verdana" w:hAnsi="Verdana" w:cs="Verdana"/>
          <w:color w:val="FF0000"/>
          <w:sz w:val="20"/>
          <w:szCs w:val="20"/>
        </w:rPr>
        <w:t>e duas pessoas conversando.</w:t>
      </w:r>
      <w:r>
        <w:rPr>
          <w:rFonts w:ascii="Verdana" w:hAnsi="Verdana" w:cs="Verdana"/>
          <w:color w:val="FF0000"/>
          <w:sz w:val="20"/>
          <w:szCs w:val="20"/>
        </w:rPr>
        <w:t xml:space="preserve"> Destacar o texto e não a imagem.</w:t>
      </w: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>Exemplo:</w:t>
      </w:r>
    </w:p>
    <w:p w:rsidR="00650CA4" w:rsidRDefault="0039425C" w:rsidP="00650CA4">
      <w:pPr>
        <w:rPr>
          <w:rFonts w:ascii="Verdana" w:hAnsi="Verdana" w:cs="Verdana"/>
        </w:rPr>
      </w:pPr>
      <w:r w:rsidRPr="0039425C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margin-left:338.05pt;margin-top:2.15pt;width:198pt;height:111.05pt;z-index:251661312" adj="-3305,8665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4">
              <w:txbxContent>
                <w:p w:rsidR="00BD54F5" w:rsidRPr="00915338" w:rsidRDefault="00BD54F5" w:rsidP="00650CA4">
                  <w:pPr>
                    <w:jc w:val="center"/>
                  </w:pPr>
                  <w:r w:rsidRPr="00915338">
                    <w:rPr>
                      <w:rFonts w:ascii="Verdana" w:hAnsi="Verdana" w:cs="Verdana"/>
                    </w:rPr>
                    <w:t xml:space="preserve">Uma empresa comparável é </w:t>
                  </w:r>
                  <w:proofErr w:type="gramStart"/>
                  <w:r w:rsidRPr="00915338">
                    <w:rPr>
                      <w:rFonts w:ascii="Verdana" w:hAnsi="Verdana" w:cs="Verdana"/>
                    </w:rPr>
                    <w:t>aquela com fluxos de caixa, potencial</w:t>
                  </w:r>
                  <w:proofErr w:type="gramEnd"/>
                  <w:r w:rsidRPr="00915338">
                    <w:rPr>
                      <w:rFonts w:ascii="Verdana" w:hAnsi="Verdana" w:cs="Verdana"/>
                    </w:rPr>
                    <w:t xml:space="preserve"> de crescimento e risco similares à empresa objeto da avaliação.</w:t>
                  </w:r>
                </w:p>
              </w:txbxContent>
            </v:textbox>
          </v:shape>
        </w:pict>
      </w:r>
      <w:r w:rsidRPr="0039425C">
        <w:rPr>
          <w:noProof/>
        </w:rPr>
        <w:pict>
          <v:shape id="_x0000_s1033" type="#_x0000_t62" style="position:absolute;margin-left:8.05pt;margin-top:8.5pt;width:120.75pt;height:68.25pt;z-index:251660288" adj="27181,13625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33">
              <w:txbxContent>
                <w:p w:rsidR="00BD54F5" w:rsidRDefault="00BD54F5" w:rsidP="00650CA4">
                  <w:pPr>
                    <w:jc w:val="center"/>
                  </w:pPr>
                  <w:r w:rsidRPr="00E56411">
                    <w:rPr>
                      <w:rFonts w:ascii="Verdana" w:hAnsi="Verdana" w:cs="Verdana"/>
                    </w:rPr>
                    <w:t>Mas o que é uma empresa comparável?</w:t>
                  </w:r>
                </w:p>
              </w:txbxContent>
            </v:textbox>
          </v:shape>
        </w:pict>
      </w:r>
    </w:p>
    <w:p w:rsidR="00650CA4" w:rsidRDefault="00A35A1F" w:rsidP="00650CA4">
      <w:pPr>
        <w:rPr>
          <w:rFonts w:ascii="Verdana" w:hAnsi="Verdana" w:cs="Verdan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64135</wp:posOffset>
            </wp:positionV>
            <wp:extent cx="1809115" cy="1114425"/>
            <wp:effectExtent l="19050" t="0" r="635" b="0"/>
            <wp:wrapNone/>
            <wp:docPr id="11" name="Imagem 22" descr="j039918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 descr="j0399181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717" r="23285" b="36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jc w:val="center"/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56411">
        <w:rPr>
          <w:rFonts w:ascii="Verdana" w:hAnsi="Verdana" w:cs="Verdana"/>
        </w:rPr>
        <w:t>Embora a prática convencional seja analisar empresas pertencentes ao mesmo segmento ou negócio, nem sempre essa é necessariamente a forma mais correta ou a melhor de identificar essas empresas. Além disso, por mais cuidadoso que sejamos na escolha das empresas comparáveis, as</w:t>
      </w:r>
      <w:r>
        <w:rPr>
          <w:rFonts w:ascii="Verdana" w:hAnsi="Verdana" w:cs="Verdana"/>
        </w:rPr>
        <w:t xml:space="preserve"> diferenças permanecerão entre a empresa objeto da avaliação e as comparáveis. Descobrir como controlar essas diferenças é parte crucial da </w:t>
      </w:r>
      <w:r w:rsidRPr="00043A4A">
        <w:rPr>
          <w:rFonts w:ascii="Verdana" w:hAnsi="Verdana" w:cs="Verdana"/>
          <w:color w:val="0000FF"/>
        </w:rPr>
        <w:t>avaliação relativa</w:t>
      </w:r>
      <w:r>
        <w:rPr>
          <w:rFonts w:ascii="Verdana" w:hAnsi="Verdana" w:cs="Verdana"/>
        </w:rPr>
        <w:t xml:space="preserve">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O ideal seria podermos avaliar uma empresa pela análise da precificação de outra idêntica – em termos de risco, crescimento e fluxos de caixa. Em nenhuma parte dessa definição há um componente que se refira ao ramo de negócio ou segmento ao qual a empresa pertence. Assim, uma empresa de telecomunicações pode ser comparada a outra de software, se ambas forem idênticas em termos de fluxos de caixa, crescimento e risco.  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BC6126">
        <w:tc>
          <w:tcPr>
            <w:tcW w:w="11138" w:type="dxa"/>
          </w:tcPr>
          <w:p w:rsidR="00650CA4" w:rsidRPr="00BC612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BC6126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650CA4" w:rsidRPr="00BC612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FF0000"/>
                <w:sz w:val="20"/>
                <w:szCs w:val="20"/>
              </w:rPr>
              <w:t>avaliação</w:t>
            </w:r>
            <w:proofErr w:type="gramEnd"/>
            <w:r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relativa</w:t>
            </w:r>
          </w:p>
          <w:p w:rsidR="00650CA4" w:rsidRPr="00BC6126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BC6126">
              <w:rPr>
                <w:rFonts w:ascii="Verdana" w:hAnsi="Verdana" w:cs="Verdana"/>
                <w:color w:val="0000FF"/>
                <w:sz w:val="20"/>
                <w:szCs w:val="20"/>
              </w:rPr>
              <w:t>Não importa com que cuidado elaboramos a nossa lista de comparáveis, acabaremos com empresas diferentes daquela sob avaliação. As diferenças podem ser pequenas em relação a algumas variáveis e grandes em outras, e teremos de controlá-las em uma avaliação relativa.</w:t>
            </w:r>
          </w:p>
          <w:p w:rsidR="00650CA4" w:rsidRPr="00BC6126" w:rsidRDefault="00650CA4" w:rsidP="00365B97">
            <w:pPr>
              <w:rPr>
                <w:rFonts w:ascii="Verdana" w:hAnsi="Verdana" w:cs="Verdana"/>
                <w:color w:val="FF0000"/>
              </w:rPr>
            </w:pPr>
            <w:r w:rsidRPr="00BC6126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Pr="009F370E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D937F6">
        <w:rPr>
          <w:rFonts w:ascii="Verdana" w:hAnsi="Verdana" w:cs="Verdana"/>
        </w:rPr>
        <w:t xml:space="preserve">Há três formas de controlar </w:t>
      </w:r>
      <w:r>
        <w:rPr>
          <w:rFonts w:ascii="Verdana" w:hAnsi="Verdana" w:cs="Verdana"/>
        </w:rPr>
        <w:t>a</w:t>
      </w:r>
      <w:r w:rsidRPr="00D937F6">
        <w:rPr>
          <w:rFonts w:ascii="Verdana" w:hAnsi="Verdana" w:cs="Verdana"/>
        </w:rPr>
        <w:t xml:space="preserve">s diferenças: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1"/>
        </w:numPr>
        <w:rPr>
          <w:rFonts w:ascii="Verdana" w:hAnsi="Verdana" w:cs="Verdana"/>
        </w:rPr>
      </w:pPr>
      <w:proofErr w:type="gramStart"/>
      <w:r w:rsidRPr="00D937F6">
        <w:rPr>
          <w:rFonts w:ascii="Verdana" w:hAnsi="Verdana" w:cs="Verdana"/>
        </w:rPr>
        <w:t>ajustes</w:t>
      </w:r>
      <w:proofErr w:type="gramEnd"/>
      <w:r w:rsidRPr="00D937F6">
        <w:rPr>
          <w:rFonts w:ascii="Verdana" w:hAnsi="Verdana" w:cs="Verdana"/>
        </w:rPr>
        <w:t xml:space="preserve"> subjetivos, </w:t>
      </w:r>
    </w:p>
    <w:p w:rsidR="00650CA4" w:rsidRDefault="00650CA4" w:rsidP="00650CA4">
      <w:pPr>
        <w:numPr>
          <w:ilvl w:val="0"/>
          <w:numId w:val="1"/>
        </w:numPr>
        <w:rPr>
          <w:rFonts w:ascii="Verdana" w:hAnsi="Verdana" w:cs="Verdana"/>
        </w:rPr>
      </w:pPr>
      <w:proofErr w:type="gramStart"/>
      <w:r w:rsidRPr="00D937F6">
        <w:rPr>
          <w:rFonts w:ascii="Verdana" w:hAnsi="Verdana" w:cs="Verdana"/>
        </w:rPr>
        <w:t>múltiplos</w:t>
      </w:r>
      <w:proofErr w:type="gramEnd"/>
      <w:r w:rsidRPr="00D937F6">
        <w:rPr>
          <w:rFonts w:ascii="Verdana" w:hAnsi="Verdana" w:cs="Verdana"/>
        </w:rPr>
        <w:t xml:space="preserve"> modificados e </w:t>
      </w:r>
    </w:p>
    <w:p w:rsidR="00650CA4" w:rsidRPr="00D937F6" w:rsidRDefault="00650CA4" w:rsidP="00650CA4">
      <w:pPr>
        <w:numPr>
          <w:ilvl w:val="0"/>
          <w:numId w:val="1"/>
        </w:numPr>
        <w:rPr>
          <w:rFonts w:ascii="Verdana" w:hAnsi="Verdana" w:cs="Verdana"/>
        </w:rPr>
      </w:pPr>
      <w:proofErr w:type="gramStart"/>
      <w:r w:rsidRPr="00D937F6">
        <w:rPr>
          <w:rFonts w:ascii="Verdana" w:hAnsi="Verdana" w:cs="Verdana"/>
        </w:rPr>
        <w:t>técnicas</w:t>
      </w:r>
      <w:proofErr w:type="gramEnd"/>
      <w:r w:rsidRPr="00D937F6">
        <w:rPr>
          <w:rFonts w:ascii="Verdana" w:hAnsi="Verdana" w:cs="Verdana"/>
        </w:rPr>
        <w:t xml:space="preserve"> estatísticas.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Ajustes subjetivos</w:t>
      </w: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 avaliação relativa começa com duas escolhas – o </w:t>
      </w:r>
      <w:r w:rsidRPr="00F04410">
        <w:rPr>
          <w:rFonts w:ascii="Verdana" w:hAnsi="Verdana" w:cs="Verdana"/>
          <w:b/>
          <w:bCs/>
        </w:rPr>
        <w:t>múltiplo</w:t>
      </w:r>
      <w:r>
        <w:rPr>
          <w:rFonts w:ascii="Verdana" w:hAnsi="Verdana" w:cs="Verdana"/>
        </w:rPr>
        <w:t xml:space="preserve"> usado na análise e o </w:t>
      </w:r>
      <w:r w:rsidRPr="00F04410">
        <w:rPr>
          <w:rFonts w:ascii="Verdana" w:hAnsi="Verdana" w:cs="Verdana"/>
          <w:b/>
          <w:bCs/>
        </w:rPr>
        <w:t>grupo</w:t>
      </w:r>
      <w:r>
        <w:rPr>
          <w:rFonts w:ascii="Verdana" w:hAnsi="Verdana" w:cs="Verdana"/>
        </w:rPr>
        <w:t xml:space="preserve"> que abrange as empresas comparáveis. Em muitas avaliações relativas, calcula-se o múltiplo para cada empresa comparável e extrai-se a média. Para avaliar uma empresa individualizada, o analista compara o múltiplo a que se negocia à média calculada; se for significativamente diferente, ele pode julgar - de forma subjetiva - se as características individuais da empresa (crescimento, risco e fluxo de caixa) podem explicar a diferença. Assim, uma empresa pode ter uma razão P/L de 22 em um segmento em que a média de P/L é apenas 15, mas o analista pode concluir que essa diferença justifica-se, pois a empresa apresenta potencial de crescimento maior que o da média setorial. Se, no julgamento do analista, a diferença no múltiplo não puder ser explicada pelos </w:t>
      </w:r>
      <w:r>
        <w:rPr>
          <w:rFonts w:ascii="Verdana" w:hAnsi="Verdana" w:cs="Verdana"/>
        </w:rPr>
        <w:lastRenderedPageBreak/>
        <w:t xml:space="preserve">fundamentos, a empresa será considerada </w:t>
      </w:r>
      <w:r w:rsidRPr="00F04410">
        <w:rPr>
          <w:rFonts w:ascii="Verdana" w:hAnsi="Verdana" w:cs="Verdana"/>
          <w:b/>
          <w:bCs/>
        </w:rPr>
        <w:t>superestimada</w:t>
      </w:r>
      <w:r>
        <w:rPr>
          <w:rFonts w:ascii="Verdana" w:hAnsi="Verdana" w:cs="Verdana"/>
        </w:rPr>
        <w:t xml:space="preserve"> (se o seu múltiplo for maior que o da média) ou </w:t>
      </w:r>
      <w:r w:rsidRPr="00F04410">
        <w:rPr>
          <w:rFonts w:ascii="Verdana" w:hAnsi="Verdana" w:cs="Verdana"/>
          <w:b/>
          <w:bCs/>
        </w:rPr>
        <w:t>subestimada</w:t>
      </w:r>
      <w:r>
        <w:rPr>
          <w:rFonts w:ascii="Verdana" w:hAnsi="Verdana" w:cs="Verdana"/>
        </w:rPr>
        <w:t xml:space="preserve"> (se o seu múltiplo for menor que o da média).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AA2233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AA2233">
        <w:rPr>
          <w:rFonts w:ascii="Verdana" w:hAnsi="Verdana" w:cs="Verdana"/>
          <w:color w:val="FF0000"/>
          <w:sz w:val="20"/>
          <w:szCs w:val="20"/>
        </w:rPr>
        <w:t>Ilustração: imagem de um empresário “pesando” duas empresas em</w:t>
      </w:r>
      <w:r>
        <w:rPr>
          <w:rFonts w:ascii="Verdana" w:hAnsi="Verdana" w:cs="Verdana"/>
          <w:color w:val="FF0000"/>
          <w:sz w:val="20"/>
          <w:szCs w:val="20"/>
        </w:rPr>
        <w:t xml:space="preserve"> uma balança ou em suas mãos (cada empresa em uma mão) e fazendo cara de dúvida, como se estivesse analisando as duas para fazer uma escolha.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>O ponto fraco dessa abordagem não é que os analistas sejam chamados para fazer julgamentos subjetivos, mas que os julgamentos geralmente se baseiam em pouco mais que adivinhação. Com demasiada frequência, esses julgamentos confirmam o viés dos analistas sobre as empresas.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Múltiplos modificados</w:t>
      </w: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Nessa abordagem, modificamos o múltiplo para levar em conta a sua variável determinante mais importante – a </w:t>
      </w:r>
      <w:r w:rsidRPr="00651EF6">
        <w:rPr>
          <w:rFonts w:ascii="Verdana" w:hAnsi="Verdana" w:cs="Verdana"/>
          <w:b/>
          <w:bCs/>
        </w:rPr>
        <w:t>variável companheira</w:t>
      </w:r>
      <w:r>
        <w:rPr>
          <w:rFonts w:ascii="Verdana" w:hAnsi="Verdana" w:cs="Verdana"/>
        </w:rPr>
        <w:t xml:space="preserve">. A título de exemplo, analistas que comparam as razões P/L entre empresas com taxas de crescimento muito diferentes geralmente dividem a razão P/L pela taxa de crescimento esperado em </w:t>
      </w:r>
      <w:proofErr w:type="spellStart"/>
      <w:r>
        <w:rPr>
          <w:rFonts w:ascii="Verdana" w:hAnsi="Verdana" w:cs="Verdana"/>
        </w:rPr>
        <w:t>LPA</w:t>
      </w:r>
      <w:proofErr w:type="spellEnd"/>
      <w:r>
        <w:rPr>
          <w:rFonts w:ascii="Verdana" w:hAnsi="Verdana" w:cs="Verdana"/>
        </w:rPr>
        <w:t xml:space="preserve"> (lucro por ação), para determinar uma razão P/L ajustada ao crescimento ou a razão P/L/C (em inglês, </w:t>
      </w:r>
      <w:proofErr w:type="spellStart"/>
      <w:r>
        <w:rPr>
          <w:rFonts w:ascii="Verdana" w:hAnsi="Verdana" w:cs="Verdana"/>
          <w:i/>
          <w:iCs/>
        </w:rPr>
        <w:t>price-earnings</w:t>
      </w:r>
      <w:proofErr w:type="spellEnd"/>
      <w:r>
        <w:rPr>
          <w:rFonts w:ascii="Verdana" w:hAnsi="Verdana" w:cs="Verdana"/>
          <w:i/>
          <w:iCs/>
        </w:rPr>
        <w:t>/</w:t>
      </w:r>
      <w:proofErr w:type="spellStart"/>
      <w:r>
        <w:rPr>
          <w:rFonts w:ascii="Verdana" w:hAnsi="Verdana" w:cs="Verdana"/>
          <w:i/>
          <w:iCs/>
        </w:rPr>
        <w:t>growth</w:t>
      </w:r>
      <w:proofErr w:type="spellEnd"/>
      <w:r>
        <w:rPr>
          <w:rFonts w:ascii="Verdana" w:hAnsi="Verdana" w:cs="Verdana"/>
          <w:i/>
          <w:iCs/>
        </w:rPr>
        <w:t xml:space="preserve"> </w:t>
      </w:r>
      <w:r>
        <w:rPr>
          <w:rFonts w:ascii="Verdana" w:hAnsi="Verdana" w:cs="Verdana"/>
        </w:rPr>
        <w:t xml:space="preserve">– </w:t>
      </w:r>
      <w:proofErr w:type="spellStart"/>
      <w:r>
        <w:rPr>
          <w:rFonts w:ascii="Verdana" w:hAnsi="Verdana" w:cs="Verdana"/>
        </w:rPr>
        <w:t>PEG</w:t>
      </w:r>
      <w:proofErr w:type="spellEnd"/>
      <w:r>
        <w:rPr>
          <w:rFonts w:ascii="Verdana" w:hAnsi="Verdana" w:cs="Verdana"/>
        </w:rPr>
        <w:t>). Essa razão é depois comparada entre empresas com diferentes taxas de crescimento, para que sejam identificadas empresas estimadas a menor ou a maior.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AA2233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 w:rsidRPr="00651EF6">
        <w:rPr>
          <w:rFonts w:ascii="Verdana" w:hAnsi="Verdana" w:cs="Verdana"/>
          <w:color w:val="FF0000"/>
          <w:sz w:val="20"/>
          <w:szCs w:val="20"/>
        </w:rPr>
        <w:t>Ilustração:</w:t>
      </w:r>
      <w:r>
        <w:rPr>
          <w:rFonts w:ascii="Verdana" w:hAnsi="Verdana" w:cs="Verdana"/>
          <w:color w:val="FF0000"/>
          <w:sz w:val="20"/>
          <w:szCs w:val="20"/>
        </w:rPr>
        <w:t xml:space="preserve"> imagem do mesmo empresário anterior, desta vez “medindo” duas empresas e fazendo cara de dúvida, como se estivesse analisando as duas para fazer uma escolha.</w:t>
      </w:r>
    </w:p>
    <w:p w:rsidR="00650CA4" w:rsidRPr="00651EF6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Há duas premissas implícitas que adotamos ao usar esses múltiplos modificados. A primeira é que essas empresas são comparáveis em todas as outras medidas de valor, exceto naquela que está sendo controlada. Em outras palavras, ao comparar razões P/L entre empresas, pressupomos que sejam todas de risco equivalente. </w:t>
      </w:r>
      <w:r w:rsidRPr="00651EF6">
        <w:rPr>
          <w:rFonts w:ascii="Verdana" w:hAnsi="Verdana" w:cs="Verdana"/>
        </w:rPr>
        <w:t xml:space="preserve">Outra premissa que geralmente se faz é que </w:t>
      </w:r>
      <w:r w:rsidRPr="00651EF6">
        <w:rPr>
          <w:rFonts w:ascii="Verdana" w:hAnsi="Verdana" w:cs="Verdana"/>
          <w:b/>
          <w:bCs/>
        </w:rPr>
        <w:t>a</w:t>
      </w:r>
      <w:r w:rsidRPr="0003063C">
        <w:rPr>
          <w:rFonts w:ascii="Verdana" w:hAnsi="Verdana" w:cs="Verdana"/>
          <w:b/>
          <w:bCs/>
        </w:rPr>
        <w:t xml:space="preserve"> relação entre múltiplos e fundamentos é linear</w:t>
      </w:r>
      <w:r>
        <w:rPr>
          <w:rFonts w:ascii="Verdana" w:hAnsi="Verdana" w:cs="Verdana"/>
        </w:rPr>
        <w:t>.  Novamente, usando razões P/L/C para ilustrar o ponto de vista, admitimos que, à medida que dobra o crescimento, a razão P/L dobrará; se essa premissa não se sustentar e as razões P/L não aumentarem na mesma proporção do crescimento, as empresas com altas taxas de crescimento parecerão baratas com base na razão P/L/C.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Técnicas estatísticas</w:t>
      </w:r>
    </w:p>
    <w:p w:rsidR="00650CA4" w:rsidRPr="00E609CE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Ajustes subjetivos e múltiplos modificados são difíceis de usar quando a relação entre múltiplos e variáveis fundamentais que os determinam torna-se complexa. Para esses casos, há técnicas estatísticas promissoras. </w:t>
      </w:r>
      <w:proofErr w:type="spellStart"/>
      <w:r>
        <w:rPr>
          <w:rFonts w:ascii="Verdana" w:hAnsi="Verdana" w:cs="Verdana"/>
        </w:rPr>
        <w:t>Damodaran</w:t>
      </w:r>
      <w:proofErr w:type="spellEnd"/>
      <w:r>
        <w:rPr>
          <w:rFonts w:ascii="Verdana" w:hAnsi="Verdana" w:cs="Verdana"/>
        </w:rPr>
        <w:t xml:space="preserve"> menciona: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2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regressões</w:t>
      </w:r>
      <w:proofErr w:type="gramEnd"/>
      <w:r>
        <w:rPr>
          <w:rFonts w:ascii="Verdana" w:hAnsi="Verdana" w:cs="Verdana"/>
        </w:rPr>
        <w:t xml:space="preserve"> setoriais e </w:t>
      </w:r>
    </w:p>
    <w:p w:rsidR="00650CA4" w:rsidRDefault="00650CA4" w:rsidP="00650CA4">
      <w:pPr>
        <w:numPr>
          <w:ilvl w:val="0"/>
          <w:numId w:val="2"/>
        </w:numPr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regressão</w:t>
      </w:r>
      <w:proofErr w:type="gramEnd"/>
      <w:r>
        <w:rPr>
          <w:rFonts w:ascii="Verdana" w:hAnsi="Verdana" w:cs="Verdana"/>
        </w:rPr>
        <w:t xml:space="preserve"> de mercado.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5"/>
        </w:numPr>
        <w:rPr>
          <w:rFonts w:ascii="Verdana" w:hAnsi="Verdana" w:cs="Verdana"/>
          <w:b/>
          <w:bCs/>
        </w:rPr>
      </w:pPr>
      <w:r w:rsidRPr="00D6578C">
        <w:rPr>
          <w:rFonts w:ascii="Verdana" w:hAnsi="Verdana" w:cs="Verdana"/>
          <w:b/>
          <w:bCs/>
        </w:rPr>
        <w:lastRenderedPageBreak/>
        <w:t>Regressões setoriais</w:t>
      </w: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Em uma </w:t>
      </w:r>
      <w:r w:rsidRPr="003E5641">
        <w:rPr>
          <w:rFonts w:ascii="Verdana" w:hAnsi="Verdana" w:cs="Verdana"/>
          <w:b/>
          <w:bCs/>
        </w:rPr>
        <w:t>regressão</w:t>
      </w:r>
      <w:r>
        <w:rPr>
          <w:rFonts w:ascii="Verdana" w:hAnsi="Verdana" w:cs="Verdana"/>
        </w:rPr>
        <w:t>, tentamos explicar uma variável dependente por meio de variáveis independentes que acreditamos que influenciem a primeira. As regressões apresentam três vantagens em relação à abordagem subjetiva: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3"/>
        </w:numPr>
        <w:spacing w:after="120"/>
        <w:ind w:left="1134" w:hanging="425"/>
        <w:rPr>
          <w:rFonts w:ascii="Verdana" w:hAnsi="Verdana" w:cs="Verdana"/>
        </w:rPr>
      </w:pPr>
      <w:r>
        <w:rPr>
          <w:rFonts w:ascii="Verdana" w:hAnsi="Verdana" w:cs="Verdana"/>
        </w:rPr>
        <w:t>O resultado da regressão fornece uma medida da força entre o múltiplo e a variável em uso.</w:t>
      </w:r>
    </w:p>
    <w:p w:rsidR="00650CA4" w:rsidRDefault="00650CA4" w:rsidP="00650CA4">
      <w:pPr>
        <w:numPr>
          <w:ilvl w:val="0"/>
          <w:numId w:val="3"/>
        </w:numPr>
        <w:spacing w:after="120"/>
        <w:ind w:left="1134" w:hanging="425"/>
        <w:rPr>
          <w:rFonts w:ascii="Verdana" w:hAnsi="Verdana" w:cs="Verdana"/>
        </w:rPr>
      </w:pPr>
      <w:r>
        <w:rPr>
          <w:rFonts w:ascii="Verdana" w:hAnsi="Verdana" w:cs="Verdana"/>
        </w:rPr>
        <w:t>Se a relação entre um múltiplo e o fundamento que estamos usando para explicá-lo for não-linear, a regressão pode ser modificada para permitir a relação.</w:t>
      </w:r>
    </w:p>
    <w:p w:rsidR="00650CA4" w:rsidRDefault="00650CA4" w:rsidP="00650CA4">
      <w:pPr>
        <w:numPr>
          <w:ilvl w:val="0"/>
          <w:numId w:val="3"/>
        </w:numPr>
        <w:spacing w:after="120"/>
        <w:ind w:left="1134" w:hanging="425"/>
        <w:rPr>
          <w:rFonts w:ascii="Verdana" w:hAnsi="Verdana" w:cs="Verdana"/>
        </w:rPr>
      </w:pPr>
      <w:r>
        <w:rPr>
          <w:rFonts w:ascii="Verdana" w:hAnsi="Verdana" w:cs="Verdana"/>
        </w:rPr>
        <w:t>Diferentemente da abordagem do múltiplo modificado, em que conseguimos controlar as diferenças de apenas uma variável, uma regressão pode ser estendida para permitir mais de uma variável e até efeitos cruzados entre essas variáveis.</w:t>
      </w: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Em geral, as regressões parecem particularmente adequadas à nossa tarefa em uma avaliação relativa, que é </w:t>
      </w:r>
      <w:r w:rsidRPr="003E5641">
        <w:rPr>
          <w:rFonts w:ascii="Verdana" w:hAnsi="Verdana" w:cs="Verdana"/>
          <w:b/>
          <w:bCs/>
        </w:rPr>
        <w:t>dar sentido a dados volumosos</w:t>
      </w:r>
      <w:r>
        <w:rPr>
          <w:rFonts w:ascii="Verdana" w:hAnsi="Verdana" w:cs="Verdana"/>
        </w:rPr>
        <w:t xml:space="preserve"> e, às vezes, contraditórios. Há duas perguntas básicas a responder, ao se executarem regressões setoriais: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4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A primeira refere-se a </w:t>
      </w:r>
      <w:r w:rsidRPr="004D7786">
        <w:rPr>
          <w:rFonts w:ascii="Verdana" w:hAnsi="Verdana" w:cs="Verdana"/>
          <w:b/>
          <w:bCs/>
        </w:rPr>
        <w:t>como definir o segmento</w:t>
      </w:r>
      <w:r>
        <w:rPr>
          <w:rFonts w:ascii="Verdana" w:hAnsi="Verdana" w:cs="Verdana"/>
        </w:rPr>
        <w:t xml:space="preserve">. 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4D7786">
        <w:tc>
          <w:tcPr>
            <w:tcW w:w="11138" w:type="dxa"/>
          </w:tcPr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>Link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>Como definir o segmento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0000FF"/>
                <w:sz w:val="20"/>
                <w:szCs w:val="20"/>
              </w:rPr>
              <w:t>Se o definirmos de forma muito restritiva, corremos o risco de ter amostragens pequenas, que minam a utilidade da regressão. Definições mais amplas acarretam menores riscos. Embora possa haver grandes diferenças entre empresas, ao fazermos isso, podemos controlá-las na regressão.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4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A segunda envolve as </w:t>
      </w:r>
      <w:r w:rsidRPr="004D7786">
        <w:rPr>
          <w:rFonts w:ascii="Verdana" w:hAnsi="Verdana" w:cs="Verdana"/>
          <w:b/>
          <w:bCs/>
        </w:rPr>
        <w:t>variáveis independentes</w:t>
      </w:r>
      <w:r>
        <w:rPr>
          <w:rFonts w:ascii="Verdana" w:hAnsi="Verdana" w:cs="Verdana"/>
        </w:rPr>
        <w:t xml:space="preserve"> que usamos na regressão. </w:t>
      </w:r>
    </w:p>
    <w:p w:rsidR="00650CA4" w:rsidRDefault="00650CA4" w:rsidP="00650CA4">
      <w:pPr>
        <w:ind w:left="360"/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 w:rsidRPr="004D7786">
        <w:tc>
          <w:tcPr>
            <w:tcW w:w="11138" w:type="dxa"/>
          </w:tcPr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Link 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proofErr w:type="gramStart"/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>variáveis</w:t>
            </w:r>
            <w:proofErr w:type="gramEnd"/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 xml:space="preserve"> independentes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0000FF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Enquanto o foco nas categorias estatísticas é aumentar o poder explicativo da regressão (por meio do R-quadrado) e incluir quaisquer variáveis que realizem isso, o foco das regressões em avaliações relativas é mais restrito. Como o nosso objetivo não é elucidar todas as diferenças na precificação de empresas, mas somente aquelas explicadas pelos fundamentos, apenas usaremos as variáveis que são relacionadas a esses fundamentos. Por exemplo, consideremos a razão P/L. Como é determinada por razão de </w:t>
            </w:r>
            <w:proofErr w:type="spellStart"/>
            <w:r w:rsidRPr="004D7786">
              <w:rPr>
                <w:rFonts w:ascii="Verdana" w:hAnsi="Verdana" w:cs="Verdana"/>
                <w:i/>
                <w:iCs/>
                <w:color w:val="0000FF"/>
                <w:sz w:val="20"/>
                <w:szCs w:val="20"/>
              </w:rPr>
              <w:t>payout</w:t>
            </w:r>
            <w:proofErr w:type="spellEnd"/>
            <w:r w:rsidRPr="004D7786">
              <w:rPr>
                <w:rFonts w:ascii="Verdana" w:hAnsi="Verdana" w:cs="Verdana"/>
                <w:color w:val="0000FF"/>
                <w:sz w:val="20"/>
                <w:szCs w:val="20"/>
              </w:rPr>
              <w:t>, crescimento esperado e risco, incluiremos apenas essas variáveis na regressão. Não acrescentaremos outras, mesmo que isso aumente o poder explicativo, se não houver nenhum motivo essencial para essas variáveis se relacionarem às razões P/L.</w:t>
            </w:r>
          </w:p>
          <w:p w:rsidR="00650CA4" w:rsidRPr="004D7786" w:rsidRDefault="00650CA4" w:rsidP="00365B97">
            <w:pPr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4D7786">
              <w:rPr>
                <w:rFonts w:ascii="Verdana" w:hAnsi="Verdana" w:cs="Verdana"/>
                <w:color w:val="FF0000"/>
                <w:sz w:val="20"/>
                <w:szCs w:val="20"/>
              </w:rPr>
              <w:t>Fim do link</w:t>
            </w:r>
          </w:p>
        </w:tc>
      </w:tr>
    </w:tbl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numPr>
          <w:ilvl w:val="0"/>
          <w:numId w:val="5"/>
        </w:num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Regressão de mercado</w:t>
      </w: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Buscar empresas comparáveis em um segmento de atuação é bastante restritivo, principalmente quando há relativamente poucas empresas no segmento ou quando uma empresa opera em mais de um segmento. Como a definição de empresa comparável não é daquela que está no mesmo segmento, mas que </w:t>
      </w:r>
      <w:r w:rsidRPr="001D6F96">
        <w:rPr>
          <w:rFonts w:ascii="Verdana" w:hAnsi="Verdana" w:cs="Verdana"/>
        </w:rPr>
        <w:t>possui as mesmas características de crescimento, risco e fluxo de caixa que a empresa em análise,</w:t>
      </w:r>
      <w:r>
        <w:rPr>
          <w:rFonts w:ascii="Verdana" w:hAnsi="Verdana" w:cs="Verdana"/>
        </w:rPr>
        <w:t xml:space="preserve"> não precisamos restringir nossa escolha de empresas comparáveis àquelas do mesmo ramo de negócio.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A abordagem anterior, de regressão setorial, controla as diferenças das variáveis que acreditamos que causem variação nos múltiplos das empresas. É possível, contudo, que as </w:t>
      </w:r>
      <w:proofErr w:type="spellStart"/>
      <w:r>
        <w:rPr>
          <w:rFonts w:ascii="Verdana" w:hAnsi="Verdana" w:cs="Verdana"/>
          <w:i/>
          <w:iCs/>
        </w:rPr>
        <w:t>proxies</w:t>
      </w:r>
      <w:proofErr w:type="spellEnd"/>
      <w:r>
        <w:rPr>
          <w:rFonts w:ascii="Verdana" w:hAnsi="Verdana" w:cs="Verdana"/>
        </w:rPr>
        <w:t xml:space="preserve"> que usamos para risco (beta), crescimento (taxa de crescimento esperado em lucros por ação) e fluxo de caixa (dividendos) sejam </w:t>
      </w:r>
      <w:proofErr w:type="gramStart"/>
      <w:r>
        <w:rPr>
          <w:rFonts w:ascii="Verdana" w:hAnsi="Verdana" w:cs="Verdana"/>
        </w:rPr>
        <w:t>imperfeitas</w:t>
      </w:r>
      <w:proofErr w:type="gramEnd"/>
      <w:r>
        <w:rPr>
          <w:rFonts w:ascii="Verdana" w:hAnsi="Verdana" w:cs="Verdana"/>
        </w:rPr>
        <w:t xml:space="preserve"> e que a relação não seja linear. Para lidar com essas limitações, podemos acrescentar mais variáveis à regressão (por exemplo, o porte da empresa pode funcionar como uma boa </w:t>
      </w:r>
      <w:proofErr w:type="spellStart"/>
      <w:proofErr w:type="gramStart"/>
      <w:r>
        <w:rPr>
          <w:rFonts w:ascii="Verdana" w:hAnsi="Verdana" w:cs="Verdana"/>
          <w:i/>
          <w:iCs/>
        </w:rPr>
        <w:t>proxy</w:t>
      </w:r>
      <w:proofErr w:type="spellEnd"/>
      <w:proofErr w:type="gramEnd"/>
      <w:r>
        <w:rPr>
          <w:rFonts w:ascii="Verdana" w:hAnsi="Verdana" w:cs="Verdana"/>
          <w:i/>
          <w:iCs/>
        </w:rPr>
        <w:t xml:space="preserve"> </w:t>
      </w:r>
      <w:r>
        <w:rPr>
          <w:rFonts w:ascii="Verdana" w:hAnsi="Verdana" w:cs="Verdana"/>
        </w:rPr>
        <w:t>de risco).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Pr="00A21F67" w:rsidRDefault="00650CA4" w:rsidP="00650CA4">
      <w:pPr>
        <w:rPr>
          <w:rFonts w:ascii="Verdana" w:hAnsi="Verdana" w:cs="Verdana"/>
        </w:rPr>
      </w:pPr>
    </w:p>
    <w:p w:rsidR="00650CA4" w:rsidRPr="001D6F96" w:rsidRDefault="00650CA4" w:rsidP="00650CA4">
      <w:pPr>
        <w:rPr>
          <w:rFonts w:ascii="Verdana" w:hAnsi="Verdana" w:cs="Verdana"/>
          <w:b/>
          <w:bCs/>
        </w:rPr>
      </w:pPr>
      <w:r w:rsidRPr="001D6F96">
        <w:rPr>
          <w:rFonts w:ascii="Verdana" w:hAnsi="Verdana" w:cs="Verdana"/>
          <w:b/>
          <w:bCs/>
        </w:rPr>
        <w:t>Reconciliação entre avaliação relativa e de fluxo de caixa descontado</w:t>
      </w: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Segundo </w:t>
      </w:r>
      <w:proofErr w:type="spellStart"/>
      <w:r w:rsidRPr="00EF201D">
        <w:rPr>
          <w:rFonts w:ascii="Verdana" w:hAnsi="Verdana" w:cs="Verdana"/>
        </w:rPr>
        <w:t>Damodaran</w:t>
      </w:r>
      <w:proofErr w:type="spellEnd"/>
      <w:r w:rsidRPr="00EF201D">
        <w:rPr>
          <w:rFonts w:ascii="Verdana" w:hAnsi="Verdana" w:cs="Verdana"/>
        </w:rPr>
        <w:t xml:space="preserve"> (2007) em geral as duas abordagens à avaliação – relativa (por múltiplos) e de fluxo de caixa descontado – produzirão diferentes estimativas de valor para a mesma empresa, no mesmo momento. É até possível que uma abordagem gere o resultado de que a ação está subestimada, enquanto a outra conclui exatamente o contrário. Além disso, mesmo no âmbito da avaliação relativa, podemos chegar a diferentes estimativas de valor, dependendo do múltiplo aplicado e das empresas que serviram de base.</w:t>
      </w: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As diferenças de valor entre </w:t>
      </w:r>
      <w:r w:rsidRPr="003D4F6A">
        <w:rPr>
          <w:rFonts w:ascii="Verdana" w:hAnsi="Verdana" w:cs="Verdana"/>
          <w:b/>
          <w:bCs/>
        </w:rPr>
        <w:t>avaliação de fluxo de caixa descontado</w:t>
      </w:r>
      <w:r w:rsidRPr="00EF201D">
        <w:rPr>
          <w:rFonts w:ascii="Verdana" w:hAnsi="Verdana" w:cs="Verdana"/>
        </w:rPr>
        <w:t xml:space="preserve"> e </w:t>
      </w:r>
      <w:r w:rsidRPr="003D4F6A">
        <w:rPr>
          <w:rFonts w:ascii="Verdana" w:hAnsi="Verdana" w:cs="Verdana"/>
          <w:b/>
          <w:bCs/>
        </w:rPr>
        <w:t>avaliação relativa</w:t>
      </w:r>
      <w:r w:rsidRPr="00EF201D">
        <w:rPr>
          <w:rFonts w:ascii="Verdana" w:hAnsi="Verdana" w:cs="Verdana"/>
        </w:rPr>
        <w:t xml:space="preserve"> decorrem de visões divergentes de eficiência de mercado, ou para ser mais exato, </w:t>
      </w:r>
      <w:r w:rsidRPr="0069233A">
        <w:rPr>
          <w:rFonts w:ascii="Verdana" w:hAnsi="Verdana" w:cs="Verdana"/>
        </w:rPr>
        <w:t>ineficiência de mercado.</w:t>
      </w:r>
      <w:r w:rsidRPr="00EF201D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Observe:</w:t>
      </w: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>Ilustração: i</w:t>
      </w:r>
      <w:r w:rsidRPr="00B61964">
        <w:rPr>
          <w:rFonts w:ascii="Verdana" w:hAnsi="Verdana" w:cs="Verdana"/>
          <w:color w:val="FF0000"/>
          <w:sz w:val="20"/>
          <w:szCs w:val="20"/>
        </w:rPr>
        <w:t>nserir o texto d</w:t>
      </w:r>
      <w:r>
        <w:rPr>
          <w:rFonts w:ascii="Verdana" w:hAnsi="Verdana" w:cs="Verdana"/>
          <w:color w:val="FF0000"/>
          <w:sz w:val="20"/>
          <w:szCs w:val="20"/>
        </w:rPr>
        <w:t>entro de duas setas divergentes para dar idéia de oposição.</w:t>
      </w:r>
    </w:p>
    <w:p w:rsidR="00650CA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</w:p>
    <w:p w:rsidR="00650CA4" w:rsidRPr="00B61964" w:rsidRDefault="00650CA4" w:rsidP="00650CA4">
      <w:pPr>
        <w:rPr>
          <w:rFonts w:ascii="Verdana" w:hAnsi="Verdana" w:cs="Verdana"/>
          <w:color w:val="FF0000"/>
          <w:sz w:val="20"/>
          <w:szCs w:val="20"/>
        </w:rPr>
      </w:pPr>
    </w:p>
    <w:p w:rsidR="00650CA4" w:rsidRDefault="00A35A1F" w:rsidP="000329F3">
      <w:pPr>
        <w:jc w:val="center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5924550" cy="2809875"/>
            <wp:effectExtent l="19050" t="0" r="0" b="0"/>
            <wp:docPr id="6" name="Diagram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5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Em outras palavras, quando avaliamos uma nova empresa de software em relação a </w:t>
      </w:r>
      <w:proofErr w:type="gramStart"/>
      <w:r w:rsidRPr="00EF201D">
        <w:rPr>
          <w:rFonts w:ascii="Verdana" w:hAnsi="Verdana" w:cs="Verdana"/>
        </w:rPr>
        <w:t>outras menores</w:t>
      </w:r>
      <w:proofErr w:type="gramEnd"/>
      <w:r w:rsidRPr="00EF201D">
        <w:rPr>
          <w:rFonts w:ascii="Verdana" w:hAnsi="Verdana" w:cs="Verdana"/>
        </w:rPr>
        <w:t xml:space="preserve">, pressupomos que o mercado as tenha precificado corretamente na média, embora possa ter-se equivocado na precificação individual delas. Assim, uma ação pode ser </w:t>
      </w:r>
      <w:proofErr w:type="spellStart"/>
      <w:r w:rsidRPr="00EF201D">
        <w:rPr>
          <w:rFonts w:ascii="Verdana" w:hAnsi="Verdana" w:cs="Verdana"/>
        </w:rPr>
        <w:t>superavaliada</w:t>
      </w:r>
      <w:proofErr w:type="spellEnd"/>
      <w:r w:rsidRPr="00EF201D">
        <w:rPr>
          <w:rFonts w:ascii="Verdana" w:hAnsi="Verdana" w:cs="Verdana"/>
        </w:rPr>
        <w:t xml:space="preserve"> com base no fluxo de caixa descontado, mas subavaliada em bases relativas, se as empresas usadas na comparação da avaliação relativa estiverem todas precificadas a maior pelo mercado. O inverso pode ocorrer, se todo o segmento ou mercado estiver </w:t>
      </w:r>
      <w:proofErr w:type="spellStart"/>
      <w:r w:rsidRPr="00EF201D">
        <w:rPr>
          <w:rFonts w:ascii="Verdana" w:hAnsi="Verdana" w:cs="Verdana"/>
        </w:rPr>
        <w:t>subprecificado</w:t>
      </w:r>
      <w:proofErr w:type="spellEnd"/>
      <w:r w:rsidRPr="00EF201D">
        <w:rPr>
          <w:rFonts w:ascii="Verdana" w:hAnsi="Verdana" w:cs="Verdana"/>
        </w:rPr>
        <w:t>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Pr="00C92E71" w:rsidRDefault="00650CA4" w:rsidP="00650CA4">
      <w:pPr>
        <w:rPr>
          <w:rFonts w:ascii="Verdana" w:hAnsi="Verdana" w:cs="Verdana"/>
          <w:b/>
          <w:bCs/>
        </w:rPr>
      </w:pPr>
      <w:r w:rsidRPr="00C92E71">
        <w:rPr>
          <w:rFonts w:ascii="Verdana" w:hAnsi="Verdana" w:cs="Verdana"/>
          <w:b/>
          <w:bCs/>
        </w:rPr>
        <w:t>Múltiplos de Patrimônio Líquido</w:t>
      </w: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Segundo </w:t>
      </w:r>
      <w:proofErr w:type="spellStart"/>
      <w:r w:rsidRPr="00EF201D">
        <w:rPr>
          <w:rFonts w:ascii="Verdana" w:hAnsi="Verdana" w:cs="Verdana"/>
        </w:rPr>
        <w:t>Damodaran</w:t>
      </w:r>
      <w:proofErr w:type="spellEnd"/>
      <w:r w:rsidRPr="00EF201D">
        <w:rPr>
          <w:rFonts w:ascii="Verdana" w:hAnsi="Verdana" w:cs="Verdana"/>
        </w:rPr>
        <w:t xml:space="preserve"> (2007) ao investir em ações, nossos interesses recaem principalmente sobre o fato de o patrimônio líquido de uma empresa estar ou não precificado de forma justa. A seq</w:t>
      </w:r>
      <w:r>
        <w:rPr>
          <w:rFonts w:ascii="Verdana" w:hAnsi="Verdana" w:cs="Verdana"/>
        </w:rPr>
        <w:t>u</w:t>
      </w:r>
      <w:r w:rsidRPr="00EF201D">
        <w:rPr>
          <w:rFonts w:ascii="Verdana" w:hAnsi="Verdana" w:cs="Verdana"/>
        </w:rPr>
        <w:t>ência lógica é analisarmos os múltiplos de patrimônio líquido, em que relacionamos o valor de mercado do patrimônio líquido aos lucros ou ao valor contábil do patrimônio liquido nessa empresa.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8"/>
      </w:tblGrid>
      <w:tr w:rsidR="00650CA4">
        <w:trPr>
          <w:trHeight w:val="1692"/>
        </w:trPr>
        <w:tc>
          <w:tcPr>
            <w:tcW w:w="11138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ind w:left="142"/>
              <w:rPr>
                <w:rFonts w:ascii="Verdana" w:hAnsi="Verdana" w:cs="Verdana"/>
              </w:rPr>
            </w:pPr>
            <w:r w:rsidRPr="00594F60">
              <w:rPr>
                <w:rFonts w:ascii="Verdana" w:hAnsi="Verdana" w:cs="Verdana"/>
              </w:rPr>
              <w:t xml:space="preserve">Um </w:t>
            </w:r>
            <w:r w:rsidRPr="00594F60">
              <w:rPr>
                <w:rFonts w:ascii="Verdana" w:hAnsi="Verdana" w:cs="Verdana"/>
                <w:b/>
                <w:bCs/>
              </w:rPr>
              <w:t>múltiplo de patrimônio líquido</w:t>
            </w:r>
            <w:r w:rsidRPr="00594F60">
              <w:rPr>
                <w:rFonts w:ascii="Verdana" w:hAnsi="Verdana" w:cs="Verdana"/>
              </w:rPr>
              <w:t xml:space="preserve"> requer dois </w:t>
            </w:r>
            <w:r w:rsidRPr="00594F60">
              <w:rPr>
                <w:rFonts w:ascii="Verdana" w:hAnsi="Verdana" w:cs="Verdana"/>
                <w:i/>
                <w:iCs/>
              </w:rPr>
              <w:t>inputs</w:t>
            </w:r>
            <w:r w:rsidRPr="00594F60">
              <w:rPr>
                <w:rFonts w:ascii="Verdana" w:hAnsi="Verdana" w:cs="Verdana"/>
              </w:rPr>
              <w:t>: um, para o valor de mercado do patrimônio líquido e outro, para a variável para a qual o valor do patrimônio líquido é escalonado – lucros, valor contábil do patrimônio liquido (</w:t>
            </w:r>
            <w:r w:rsidRPr="00594F60">
              <w:rPr>
                <w:rFonts w:ascii="Verdana" w:hAnsi="Verdana" w:cs="Verdana"/>
                <w:i/>
                <w:iCs/>
              </w:rPr>
              <w:t xml:space="preserve">book </w:t>
            </w:r>
            <w:proofErr w:type="spellStart"/>
            <w:r w:rsidRPr="00594F60">
              <w:rPr>
                <w:rFonts w:ascii="Verdana" w:hAnsi="Verdana" w:cs="Verdana"/>
                <w:i/>
                <w:iCs/>
              </w:rPr>
              <w:t>value</w:t>
            </w:r>
            <w:proofErr w:type="spellEnd"/>
            <w:r w:rsidRPr="00594F60">
              <w:rPr>
                <w:rFonts w:ascii="Verdana" w:hAnsi="Verdana" w:cs="Verdana"/>
              </w:rPr>
              <w:t xml:space="preserve">) ou receitas, por exemplo. </w:t>
            </w:r>
          </w:p>
        </w:tc>
      </w:tr>
    </w:tbl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>Ao calcular múltiplos de patrimônio líquido, é claramente inadequado usar o resultado operacional como indicador de resultados, porque ele se acumula para todos os</w:t>
      </w:r>
      <w:r>
        <w:rPr>
          <w:rFonts w:ascii="Verdana" w:hAnsi="Verdana" w:cs="Verdana"/>
        </w:rPr>
        <w:t xml:space="preserve"> detentores de direitos na empresa.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  <w:b/>
          <w:bCs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Múltiplos</w:t>
      </w:r>
    </w:p>
    <w:p w:rsidR="00650CA4" w:rsidRPr="00EF201D" w:rsidRDefault="00650CA4" w:rsidP="00650CA4">
      <w:pPr>
        <w:rPr>
          <w:rFonts w:ascii="Verdana" w:hAnsi="Verdana" w:cs="Verdana"/>
          <w:b/>
          <w:bCs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Vamos examinar alguns múltiplos de patrimônio </w:t>
      </w:r>
      <w:proofErr w:type="gramStart"/>
      <w:r w:rsidRPr="00EF201D">
        <w:rPr>
          <w:rFonts w:ascii="Verdana" w:hAnsi="Verdana" w:cs="Verdana"/>
        </w:rPr>
        <w:t>líquido amplamente utilizados</w:t>
      </w:r>
      <w:proofErr w:type="gramEnd"/>
      <w:r w:rsidRPr="00EF201D">
        <w:rPr>
          <w:rFonts w:ascii="Verdana" w:hAnsi="Verdana" w:cs="Verdana"/>
        </w:rPr>
        <w:t xml:space="preserve">. </w:t>
      </w: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  <w:b/>
          <w:bCs/>
        </w:rPr>
      </w:pPr>
      <w:r w:rsidRPr="00EF201D">
        <w:rPr>
          <w:rFonts w:ascii="Verdana" w:hAnsi="Verdana" w:cs="Verdana"/>
          <w:b/>
          <w:bCs/>
        </w:rPr>
        <w:t>a) Razão preço/lucro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>A razão preço/lucro é aquela do valor do patrimônio líquido para os lucros gerados aos investidores em patrimônio líquido.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95"/>
      </w:tblGrid>
      <w:tr w:rsidR="00650CA4">
        <w:trPr>
          <w:trHeight w:val="711"/>
          <w:jc w:val="center"/>
        </w:trPr>
        <w:tc>
          <w:tcPr>
            <w:tcW w:w="8595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P/L = </w:t>
            </w:r>
            <w:r w:rsidRPr="00594F60">
              <w:rPr>
                <w:rFonts w:ascii="Verdana" w:hAnsi="Verdana" w:cs="Verdana"/>
                <w:b/>
                <w:bCs/>
                <w:u w:val="single"/>
              </w:rPr>
              <w:t>Preço de mercado da ação</w:t>
            </w:r>
          </w:p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proofErr w:type="spellStart"/>
            <w:r w:rsidRPr="00594F60">
              <w:rPr>
                <w:rFonts w:ascii="Verdana" w:hAnsi="Verdana" w:cs="Verdana"/>
                <w:b/>
                <w:bCs/>
              </w:rPr>
              <w:t>LPA</w:t>
            </w:r>
            <w:proofErr w:type="spellEnd"/>
          </w:p>
        </w:tc>
      </w:tr>
    </w:tbl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  <w:b/>
          <w:bCs/>
        </w:rPr>
      </w:pPr>
      <w:r w:rsidRPr="00EF201D">
        <w:rPr>
          <w:rFonts w:ascii="Verdana" w:hAnsi="Verdana" w:cs="Verdana"/>
          <w:b/>
          <w:bCs/>
        </w:rPr>
        <w:t>b) Razão P/L/C</w:t>
      </w:r>
    </w:p>
    <w:p w:rsidR="00650CA4" w:rsidRPr="00EF201D" w:rsidRDefault="00650CA4" w:rsidP="00650CA4">
      <w:pPr>
        <w:rPr>
          <w:rFonts w:ascii="Verdana" w:hAnsi="Verdana" w:cs="Verdana"/>
          <w:b/>
          <w:bCs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>Ocasionalmente, gestores de carteiras e analistas comparam as razões P/L à taxa de crescimento esperado, para identificar ações subestimadas ou superestimadas. Como uma conseq</w:t>
      </w:r>
      <w:r>
        <w:rPr>
          <w:rFonts w:ascii="Verdana" w:hAnsi="Verdana" w:cs="Verdana"/>
        </w:rPr>
        <w:t>u</w:t>
      </w:r>
      <w:r w:rsidRPr="00EF201D">
        <w:rPr>
          <w:rFonts w:ascii="Verdana" w:hAnsi="Verdana" w:cs="Verdana"/>
        </w:rPr>
        <w:t>ência natural, a razão P/L/C é definida como a razão preço/lucro dividida pela taxa de crescimento esperado em lucros por ação: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8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3"/>
      </w:tblGrid>
      <w:tr w:rsidR="00650CA4">
        <w:trPr>
          <w:trHeight w:val="853"/>
          <w:jc w:val="center"/>
        </w:trPr>
        <w:tc>
          <w:tcPr>
            <w:tcW w:w="8513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Razão P/L/C =  </w:t>
            </w:r>
            <w:r w:rsidRPr="00594F60">
              <w:rPr>
                <w:rFonts w:ascii="Verdana" w:hAnsi="Verdana" w:cs="Verdana"/>
                <w:b/>
                <w:bCs/>
                <w:u w:val="single"/>
              </w:rPr>
              <w:t xml:space="preserve">          (Razão P/L</w:t>
            </w:r>
            <w:proofErr w:type="gramStart"/>
            <w:r w:rsidRPr="00594F60">
              <w:rPr>
                <w:rFonts w:ascii="Verdana" w:hAnsi="Verdana" w:cs="Verdana"/>
                <w:b/>
                <w:bCs/>
                <w:u w:val="single"/>
              </w:rPr>
              <w:t>)</w:t>
            </w:r>
            <w:proofErr w:type="gramEnd"/>
            <w:r w:rsidRPr="00594F60">
              <w:rPr>
                <w:rFonts w:ascii="Verdana" w:hAnsi="Verdana" w:cs="Verdana"/>
                <w:b/>
                <w:bCs/>
                <w:u w:val="single"/>
              </w:rPr>
              <w:t xml:space="preserve">____________   </w:t>
            </w:r>
          </w:p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                         Taxa de crescimento esperado</w:t>
            </w:r>
          </w:p>
        </w:tc>
      </w:tr>
    </w:tbl>
    <w:p w:rsidR="00650CA4" w:rsidRPr="00EF201D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Por exemplo, estima-se que uma empresa com razão P/L de 20 e taxa de crescimento de 10% tenha uma razão P/L/C de </w:t>
      </w:r>
      <w:proofErr w:type="gramStart"/>
      <w:r>
        <w:rPr>
          <w:rFonts w:ascii="Verdana" w:hAnsi="Verdana" w:cs="Verdana"/>
        </w:rPr>
        <w:t>2</w:t>
      </w:r>
      <w:proofErr w:type="gramEnd"/>
      <w:r>
        <w:rPr>
          <w:rFonts w:ascii="Verdana" w:hAnsi="Verdana" w:cs="Verdana"/>
        </w:rPr>
        <w:t xml:space="preserve">. Em prol da consistência, a taxa de crescimento utilizada nessa estimativa deve ser a taxa de crescimento esperado em lucros por ação ou </w:t>
      </w:r>
      <w:r>
        <w:rPr>
          <w:rFonts w:ascii="Verdana" w:hAnsi="Verdana" w:cs="Verdana"/>
        </w:rPr>
        <w:lastRenderedPageBreak/>
        <w:t>lucro líquido, em vez do lucro operacional, porque se trata de um múltiplo de patrimônio líquido</w:t>
      </w:r>
      <w:r w:rsidRPr="00EF201D">
        <w:rPr>
          <w:rFonts w:ascii="Verdana" w:hAnsi="Verdana" w:cs="Verdana"/>
        </w:rPr>
        <w:t xml:space="preserve">. Outro detalhe, a razão P/L futuro nunca deve ser empregada nesse cálculo, pois pode resultar em uma contagem duplicada de crescimento. </w:t>
      </w: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  <w:b/>
          <w:bCs/>
        </w:rPr>
      </w:pPr>
      <w:r w:rsidRPr="00EF201D">
        <w:rPr>
          <w:rFonts w:ascii="Verdana" w:hAnsi="Verdana" w:cs="Verdana"/>
          <w:b/>
          <w:bCs/>
        </w:rPr>
        <w:t>c) Razão preço/valor contábil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O preço de mercado do patrimônio líquido de uma empresa reflete as expectativas de mercado do poder de lucros e dos fluxos de caixa da empresa. O valor contábil do patrimônio líquido é a diferença entre o valor contábil dos ativos (Total do Ativo) e o valor contábil do passivo exigível (PC + </w:t>
      </w:r>
      <w:proofErr w:type="spellStart"/>
      <w:r w:rsidRPr="00EF201D">
        <w:rPr>
          <w:rFonts w:ascii="Verdana" w:hAnsi="Verdana" w:cs="Verdana"/>
        </w:rPr>
        <w:t>ELP</w:t>
      </w:r>
      <w:proofErr w:type="spellEnd"/>
      <w:r w:rsidRPr="00EF201D">
        <w:rPr>
          <w:rFonts w:ascii="Verdana" w:hAnsi="Verdana" w:cs="Verdana"/>
        </w:rPr>
        <w:t xml:space="preserve">), um número em grande parte determinado pelas convenções contábeis. 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0"/>
      </w:tblGrid>
      <w:tr w:rsidR="00650CA4">
        <w:trPr>
          <w:trHeight w:val="887"/>
          <w:jc w:val="center"/>
        </w:trPr>
        <w:tc>
          <w:tcPr>
            <w:tcW w:w="9010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>P/</w:t>
            </w:r>
            <w:proofErr w:type="spellStart"/>
            <w:r w:rsidRPr="00594F60">
              <w:rPr>
                <w:rFonts w:ascii="Verdana" w:hAnsi="Verdana" w:cs="Verdana"/>
                <w:b/>
                <w:bCs/>
              </w:rPr>
              <w:t>BV</w:t>
            </w:r>
            <w:proofErr w:type="spellEnd"/>
            <w:r w:rsidRPr="00594F60">
              <w:rPr>
                <w:rFonts w:ascii="Verdana" w:hAnsi="Verdana" w:cs="Verdana"/>
                <w:b/>
                <w:bCs/>
              </w:rPr>
              <w:t xml:space="preserve"> = </w:t>
            </w:r>
            <w:r w:rsidRPr="00594F60">
              <w:rPr>
                <w:rFonts w:ascii="Verdana" w:hAnsi="Verdana" w:cs="Verdana"/>
                <w:b/>
                <w:bCs/>
                <w:u w:val="single"/>
              </w:rPr>
              <w:t>_Valor de mercado do patrimônio líquido_</w:t>
            </w:r>
          </w:p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          Valor contábil do patrimônio líquido</w:t>
            </w:r>
          </w:p>
        </w:tc>
      </w:tr>
    </w:tbl>
    <w:p w:rsidR="00650CA4" w:rsidRPr="00EF201D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  <w:b/>
          <w:bCs/>
        </w:rPr>
      </w:pPr>
      <w:r w:rsidRPr="00EF201D">
        <w:rPr>
          <w:rFonts w:ascii="Verdana" w:hAnsi="Verdana" w:cs="Verdana"/>
          <w:b/>
          <w:bCs/>
        </w:rPr>
        <w:t>d) Razão preço/vendas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Um múltiplo de receita mede o valor do patrimônio líquido ou de um negócio relativo às receitas que gera. Como ocorre com outros múltiplos, mantidas as demais condições, as empresas que negociam a baixos múltiplos de receitas são consideradas baratas em relação a empresas que negociam </w:t>
      </w:r>
      <w:proofErr w:type="gramStart"/>
      <w:r w:rsidRPr="00EF201D">
        <w:rPr>
          <w:rFonts w:ascii="Verdana" w:hAnsi="Verdana" w:cs="Verdana"/>
        </w:rPr>
        <w:t>a múltiplos</w:t>
      </w:r>
      <w:proofErr w:type="gramEnd"/>
      <w:r w:rsidRPr="00EF201D">
        <w:rPr>
          <w:rFonts w:ascii="Verdana" w:hAnsi="Verdana" w:cs="Verdana"/>
        </w:rPr>
        <w:t xml:space="preserve"> de receitas altos.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63"/>
      </w:tblGrid>
      <w:tr w:rsidR="00650CA4">
        <w:trPr>
          <w:trHeight w:val="907"/>
          <w:jc w:val="center"/>
        </w:trPr>
        <w:tc>
          <w:tcPr>
            <w:tcW w:w="10163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Razão preço/vendas = </w:t>
            </w:r>
            <w:r w:rsidRPr="00594F60">
              <w:rPr>
                <w:rFonts w:ascii="Verdana" w:hAnsi="Verdana" w:cs="Verdana"/>
                <w:b/>
                <w:bCs/>
                <w:u w:val="single"/>
              </w:rPr>
              <w:t>Valor de mercado do patrimônio líquido</w:t>
            </w:r>
          </w:p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                             Receitas</w:t>
            </w:r>
          </w:p>
        </w:tc>
      </w:tr>
    </w:tbl>
    <w:p w:rsidR="00650CA4" w:rsidRPr="00EF201D" w:rsidRDefault="00650CA4" w:rsidP="00650CA4">
      <w:pPr>
        <w:rPr>
          <w:rFonts w:ascii="Verdana" w:hAnsi="Verdana" w:cs="Verdana"/>
          <w:b/>
          <w:bCs/>
          <w:color w:val="FF9900"/>
        </w:rPr>
      </w:pPr>
    </w:p>
    <w:p w:rsidR="00650CA4" w:rsidRPr="00EF201D" w:rsidRDefault="00650CA4" w:rsidP="00650CA4">
      <w:pPr>
        <w:rPr>
          <w:rFonts w:ascii="Verdana" w:hAnsi="Verdana" w:cs="Verdana"/>
        </w:rPr>
      </w:pPr>
      <w:r w:rsidRPr="00EF201D">
        <w:rPr>
          <w:rFonts w:ascii="Verdana" w:hAnsi="Verdana" w:cs="Verdana"/>
        </w:rPr>
        <w:t xml:space="preserve">Embora essa razão seja definida de forma inconsistente, ainda assim é amplamente utilizada. Uma vantagem que os múltiplos de receitas apresentam sobre os múltiplos de lucros e valor contábil é que há muito menos empresas nas quais esse múltiplo não pode ser calculado e, portanto, menos viés no processo de comparação. </w:t>
      </w:r>
    </w:p>
    <w:p w:rsidR="00650CA4" w:rsidRPr="00EF201D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pBdr>
          <w:bottom w:val="single" w:sz="12" w:space="1" w:color="auto"/>
        </w:pBdr>
        <w:rPr>
          <w:rFonts w:ascii="Verdana" w:hAnsi="Verdana" w:cs="Verdana"/>
          <w:b/>
          <w:bCs/>
          <w:color w:val="0000FF"/>
        </w:rPr>
      </w:pPr>
    </w:p>
    <w:p w:rsidR="00650CA4" w:rsidRDefault="00650CA4" w:rsidP="00650CA4">
      <w:pPr>
        <w:rPr>
          <w:rFonts w:ascii="Verdana" w:hAnsi="Verdana" w:cs="Verdana"/>
          <w:b/>
          <w:bCs/>
          <w:color w:val="0000FF"/>
        </w:rPr>
      </w:pPr>
    </w:p>
    <w:p w:rsidR="00650CA4" w:rsidRPr="00BD54F5" w:rsidRDefault="00BD54F5" w:rsidP="00650CA4">
      <w:pPr>
        <w:rPr>
          <w:rFonts w:ascii="Verdana" w:hAnsi="Verdana"/>
          <w:b/>
        </w:rPr>
      </w:pPr>
      <w:r w:rsidRPr="00BD54F5">
        <w:rPr>
          <w:rFonts w:ascii="Verdana" w:hAnsi="Verdana"/>
          <w:b/>
        </w:rPr>
        <w:t>Resumo</w:t>
      </w:r>
    </w:p>
    <w:p w:rsidR="00BD54F5" w:rsidRPr="00BD54F5" w:rsidRDefault="00BD54F5" w:rsidP="00650CA4">
      <w:pPr>
        <w:rPr>
          <w:rFonts w:ascii="Verdana" w:hAnsi="Verdana"/>
          <w:b/>
          <w:color w:val="FF0000"/>
        </w:rPr>
      </w:pPr>
    </w:p>
    <w:p w:rsidR="00650CA4" w:rsidRDefault="00650CA4" w:rsidP="00650CA4">
      <w:pPr>
        <w:rPr>
          <w:rFonts w:ascii="Verdana" w:hAnsi="Verdana"/>
        </w:rPr>
      </w:pPr>
      <w:r w:rsidRPr="00B33A42">
        <w:rPr>
          <w:rFonts w:ascii="Verdana" w:hAnsi="Verdana"/>
        </w:rPr>
        <w:t>Ao avaliar um ativo o analista de investimento</w:t>
      </w:r>
      <w:r>
        <w:rPr>
          <w:rFonts w:ascii="Verdana" w:hAnsi="Verdana"/>
        </w:rPr>
        <w:t xml:space="preserve"> poderá</w:t>
      </w:r>
      <w:r w:rsidRPr="00B33A42">
        <w:rPr>
          <w:rFonts w:ascii="Verdana" w:hAnsi="Verdana"/>
        </w:rPr>
        <w:t xml:space="preserve"> utilizar dois modelos: o modelo de </w:t>
      </w:r>
      <w:r w:rsidRPr="00270D0C">
        <w:rPr>
          <w:rFonts w:ascii="Verdana" w:hAnsi="Verdana"/>
          <w:b/>
        </w:rPr>
        <w:t>fluxo de caixa descontado</w:t>
      </w:r>
      <w:r w:rsidRPr="00B33A42">
        <w:rPr>
          <w:rFonts w:ascii="Verdana" w:hAnsi="Verdana"/>
        </w:rPr>
        <w:t xml:space="preserve"> e o modelo </w:t>
      </w:r>
      <w:r w:rsidRPr="00270D0C">
        <w:rPr>
          <w:rFonts w:ascii="Verdana" w:hAnsi="Verdana"/>
          <w:b/>
        </w:rPr>
        <w:t>por múltiplos</w:t>
      </w:r>
      <w:r w:rsidRPr="00B33A42">
        <w:rPr>
          <w:rFonts w:ascii="Verdana" w:hAnsi="Verdana"/>
        </w:rPr>
        <w:t xml:space="preserve"> (avaliação relativa). Nos dois modelos o analista deverá dispor de muitas informações</w:t>
      </w:r>
      <w:r w:rsidR="00270D0C">
        <w:rPr>
          <w:rFonts w:ascii="Verdana" w:hAnsi="Verdana"/>
        </w:rPr>
        <w:t>,</w:t>
      </w:r>
      <w:r w:rsidRPr="00B33A42">
        <w:rPr>
          <w:rFonts w:ascii="Verdana" w:hAnsi="Verdana"/>
        </w:rPr>
        <w:t xml:space="preserve"> tanto a nível interno quanto a nível externo</w:t>
      </w:r>
      <w:r w:rsidR="00270D0C">
        <w:rPr>
          <w:rFonts w:ascii="Verdana" w:hAnsi="Verdana"/>
        </w:rPr>
        <w:t>,</w:t>
      </w:r>
      <w:r w:rsidRPr="00B33A42">
        <w:rPr>
          <w:rFonts w:ascii="Verdana" w:hAnsi="Verdana"/>
        </w:rPr>
        <w:t xml:space="preserve"> sobre o ativo a ser avaliado. </w:t>
      </w:r>
    </w:p>
    <w:p w:rsidR="00BD54F5" w:rsidRPr="00B33A42" w:rsidRDefault="00BD54F5" w:rsidP="00650CA4">
      <w:pPr>
        <w:rPr>
          <w:rFonts w:ascii="Verdana" w:hAnsi="Verdana"/>
        </w:rPr>
      </w:pPr>
    </w:p>
    <w:p w:rsidR="00650CA4" w:rsidRDefault="00650CA4" w:rsidP="00650CA4">
      <w:pPr>
        <w:rPr>
          <w:rFonts w:ascii="Verdana" w:hAnsi="Verdana"/>
        </w:rPr>
      </w:pPr>
      <w:r w:rsidRPr="00B33A42">
        <w:rPr>
          <w:rFonts w:ascii="Verdana" w:hAnsi="Verdana"/>
        </w:rPr>
        <w:t xml:space="preserve">Na avaliação por múltiplos existem quatro passos básicos que o analista de investimento deverá seguir: </w:t>
      </w:r>
    </w:p>
    <w:p w:rsidR="00BD54F5" w:rsidRPr="00B33A42" w:rsidRDefault="00BD54F5" w:rsidP="00650CA4">
      <w:pPr>
        <w:rPr>
          <w:rFonts w:ascii="Verdana" w:hAnsi="Verdana"/>
        </w:rPr>
      </w:pPr>
    </w:p>
    <w:p w:rsidR="00650CA4" w:rsidRPr="00270D0C" w:rsidRDefault="00650CA4" w:rsidP="00270D0C">
      <w:pPr>
        <w:pStyle w:val="PargrafodaLista"/>
        <w:numPr>
          <w:ilvl w:val="0"/>
          <w:numId w:val="6"/>
        </w:numPr>
        <w:rPr>
          <w:rFonts w:ascii="Verdana" w:hAnsi="Verdana"/>
        </w:rPr>
      </w:pPr>
      <w:r w:rsidRPr="00270D0C">
        <w:rPr>
          <w:rFonts w:ascii="Verdana" w:hAnsi="Verdana" w:cs="Verdana"/>
          <w:bCs/>
        </w:rPr>
        <w:t>Primeiro passo: definição, consistência e uniformidade.</w:t>
      </w:r>
    </w:p>
    <w:p w:rsidR="00650CA4" w:rsidRPr="00270D0C" w:rsidRDefault="00650CA4" w:rsidP="00270D0C">
      <w:pPr>
        <w:pStyle w:val="PargrafodaLista"/>
        <w:numPr>
          <w:ilvl w:val="0"/>
          <w:numId w:val="6"/>
        </w:numPr>
        <w:rPr>
          <w:rFonts w:ascii="Verdana" w:hAnsi="Verdana" w:cs="Verdana"/>
          <w:bCs/>
        </w:rPr>
      </w:pPr>
      <w:r w:rsidRPr="00270D0C">
        <w:rPr>
          <w:rFonts w:ascii="Verdana" w:hAnsi="Verdana" w:cs="Verdana"/>
          <w:bCs/>
        </w:rPr>
        <w:t xml:space="preserve">Segundo passo: </w:t>
      </w:r>
      <w:proofErr w:type="gramStart"/>
      <w:r w:rsidRPr="00270D0C">
        <w:rPr>
          <w:rFonts w:ascii="Verdana" w:hAnsi="Verdana" w:cs="Verdana"/>
          <w:bCs/>
        </w:rPr>
        <w:t>noção de como os múltiplos variam</w:t>
      </w:r>
      <w:proofErr w:type="gramEnd"/>
      <w:r w:rsidRPr="00270D0C">
        <w:rPr>
          <w:rFonts w:ascii="Verdana" w:hAnsi="Verdana" w:cs="Verdana"/>
          <w:bCs/>
        </w:rPr>
        <w:t xml:space="preserve"> entre as empresas no mercado.</w:t>
      </w:r>
    </w:p>
    <w:p w:rsidR="00650CA4" w:rsidRPr="00270D0C" w:rsidRDefault="00650CA4" w:rsidP="00270D0C">
      <w:pPr>
        <w:pStyle w:val="PargrafodaLista"/>
        <w:numPr>
          <w:ilvl w:val="0"/>
          <w:numId w:val="6"/>
        </w:numPr>
        <w:rPr>
          <w:rFonts w:ascii="Verdana" w:hAnsi="Verdana" w:cs="Verdana"/>
          <w:bCs/>
        </w:rPr>
      </w:pPr>
      <w:r w:rsidRPr="00270D0C">
        <w:rPr>
          <w:rFonts w:ascii="Verdana" w:hAnsi="Verdana" w:cs="Verdana"/>
          <w:bCs/>
        </w:rPr>
        <w:lastRenderedPageBreak/>
        <w:t xml:space="preserve">Terceiro passo: </w:t>
      </w:r>
      <w:proofErr w:type="gramStart"/>
      <w:r w:rsidRPr="00270D0C">
        <w:rPr>
          <w:rFonts w:ascii="Verdana" w:hAnsi="Verdana" w:cs="Verdana"/>
          <w:bCs/>
        </w:rPr>
        <w:t>identificação das variáveis fundamentais que determinam cada múltiplo e de como as alterações nesses fundamentos afetam</w:t>
      </w:r>
      <w:proofErr w:type="gramEnd"/>
      <w:r w:rsidRPr="00270D0C">
        <w:rPr>
          <w:rFonts w:ascii="Verdana" w:hAnsi="Verdana" w:cs="Verdana"/>
          <w:bCs/>
        </w:rPr>
        <w:t xml:space="preserve"> o valor do múltiplo.</w:t>
      </w:r>
    </w:p>
    <w:p w:rsidR="00650CA4" w:rsidRPr="00270D0C" w:rsidRDefault="00650CA4" w:rsidP="00270D0C">
      <w:pPr>
        <w:pStyle w:val="PargrafodaLista"/>
        <w:numPr>
          <w:ilvl w:val="0"/>
          <w:numId w:val="6"/>
        </w:numPr>
        <w:rPr>
          <w:rFonts w:ascii="Verdana" w:hAnsi="Verdana" w:cs="Verdana"/>
          <w:bCs/>
        </w:rPr>
      </w:pPr>
      <w:r w:rsidRPr="00270D0C">
        <w:rPr>
          <w:rFonts w:ascii="Verdana" w:hAnsi="Verdana" w:cs="Verdana"/>
          <w:bCs/>
        </w:rPr>
        <w:t>Quarto passo: identificação das empresas certas para comparação, e controle das diferenças que possam persistir entre elas.</w:t>
      </w:r>
    </w:p>
    <w:p w:rsidR="00BD54F5" w:rsidRPr="00B33A42" w:rsidRDefault="00BD54F5" w:rsidP="00650CA4">
      <w:pPr>
        <w:rPr>
          <w:rFonts w:ascii="Verdana" w:hAnsi="Verdana" w:cs="Verdana"/>
          <w:bCs/>
        </w:rPr>
      </w:pPr>
    </w:p>
    <w:p w:rsidR="00650CA4" w:rsidRPr="00B33A42" w:rsidRDefault="00650CA4" w:rsidP="00650CA4">
      <w:pPr>
        <w:rPr>
          <w:rFonts w:ascii="Verdana" w:hAnsi="Verdana" w:cs="Verdana"/>
        </w:rPr>
      </w:pPr>
      <w:r w:rsidRPr="00B33A42">
        <w:rPr>
          <w:rFonts w:ascii="Verdana" w:hAnsi="Verdana"/>
        </w:rPr>
        <w:t>No quarto passo o analista de investimento deverá tomar cuidado com a escolha de empresas comparáveis, para tanto</w:t>
      </w:r>
      <w:r w:rsidR="00270D0C">
        <w:rPr>
          <w:rFonts w:ascii="Verdana" w:hAnsi="Verdana"/>
        </w:rPr>
        <w:t>,</w:t>
      </w:r>
      <w:r w:rsidRPr="00B33A42">
        <w:rPr>
          <w:rFonts w:ascii="Verdana" w:hAnsi="Verdana"/>
        </w:rPr>
        <w:t xml:space="preserve"> deverá empregar três formas de controlar as diferenças: </w:t>
      </w:r>
      <w:r w:rsidRPr="00B33A42">
        <w:rPr>
          <w:rFonts w:ascii="Verdana" w:hAnsi="Verdana" w:cs="Verdana"/>
        </w:rPr>
        <w:t>ajustes subjetivos, múltiplos modificados e técnicas estatísticas.</w:t>
      </w: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 w:rsidRPr="00B33A42">
        <w:rPr>
          <w:rFonts w:ascii="Verdana" w:hAnsi="Verdana" w:cs="Verdana"/>
        </w:rPr>
        <w:t>O múltiplo de</w:t>
      </w:r>
      <w:r>
        <w:rPr>
          <w:rFonts w:ascii="Verdana" w:hAnsi="Verdana" w:cs="Verdana"/>
        </w:rPr>
        <w:t xml:space="preserve"> patrimônio líquido mais utilizado pelos analistas de investimento é o múltiplo Preço/Lucro, cuja equação é a seguinte:</w:t>
      </w:r>
    </w:p>
    <w:p w:rsidR="00650CA4" w:rsidRDefault="00650CA4" w:rsidP="00650CA4">
      <w:pPr>
        <w:rPr>
          <w:rFonts w:ascii="Verdana" w:hAnsi="Verdana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95"/>
      </w:tblGrid>
      <w:tr w:rsidR="00650CA4">
        <w:trPr>
          <w:trHeight w:val="711"/>
          <w:jc w:val="center"/>
        </w:trPr>
        <w:tc>
          <w:tcPr>
            <w:tcW w:w="8595" w:type="dxa"/>
            <w:shd w:val="clear" w:color="auto" w:fill="FFFFCC"/>
            <w:vAlign w:val="center"/>
          </w:tcPr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594F60">
              <w:rPr>
                <w:rFonts w:ascii="Verdana" w:hAnsi="Verdana" w:cs="Verdana"/>
                <w:b/>
                <w:bCs/>
              </w:rPr>
              <w:t xml:space="preserve">P/L = </w:t>
            </w:r>
            <w:r w:rsidRPr="00594F60">
              <w:rPr>
                <w:rFonts w:ascii="Verdana" w:hAnsi="Verdana" w:cs="Verdana"/>
                <w:b/>
                <w:bCs/>
                <w:u w:val="single"/>
              </w:rPr>
              <w:t>Preço de mercado da ação</w:t>
            </w:r>
          </w:p>
          <w:p w:rsidR="00650CA4" w:rsidRPr="00594F60" w:rsidRDefault="00650CA4" w:rsidP="00365B97">
            <w:pPr>
              <w:jc w:val="center"/>
              <w:rPr>
                <w:rFonts w:ascii="Verdana" w:hAnsi="Verdana" w:cs="Verdana"/>
                <w:b/>
                <w:bCs/>
              </w:rPr>
            </w:pPr>
            <w:proofErr w:type="spellStart"/>
            <w:r w:rsidRPr="00594F60">
              <w:rPr>
                <w:rFonts w:ascii="Verdana" w:hAnsi="Verdana" w:cs="Verdana"/>
                <w:b/>
                <w:bCs/>
              </w:rPr>
              <w:t>LPA</w:t>
            </w:r>
            <w:proofErr w:type="spellEnd"/>
          </w:p>
        </w:tc>
      </w:tr>
    </w:tbl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BD54F5" w:rsidRDefault="00BD54F5" w:rsidP="00650CA4">
      <w:pPr>
        <w:rPr>
          <w:rFonts w:ascii="Verdana" w:hAnsi="Verdana" w:cs="Verdana"/>
        </w:rPr>
      </w:pPr>
    </w:p>
    <w:p w:rsidR="00B338E3" w:rsidRDefault="00B338E3" w:rsidP="005F65B9">
      <w:pPr>
        <w:rPr>
          <w:rFonts w:ascii="Verdana" w:hAnsi="Verdana" w:cs="Verdana"/>
        </w:rPr>
      </w:pPr>
    </w:p>
    <w:p w:rsidR="00BF3F3E" w:rsidRDefault="00BF3F3E" w:rsidP="00BF3F3E">
      <w:pPr>
        <w:rPr>
          <w:rFonts w:ascii="Verdana" w:hAnsi="Verdana" w:cs="Verdana"/>
        </w:rPr>
      </w:pPr>
    </w:p>
    <w:p w:rsidR="00076759" w:rsidRDefault="00076759" w:rsidP="00BF3F3E">
      <w:pPr>
        <w:rPr>
          <w:rFonts w:ascii="Verdana" w:hAnsi="Verdana" w:cs="Verdana"/>
        </w:rPr>
      </w:pPr>
    </w:p>
    <w:p w:rsidR="00BF3F3E" w:rsidRDefault="00BF3F3E" w:rsidP="00BF3F3E">
      <w:pPr>
        <w:rPr>
          <w:rFonts w:ascii="Verdana" w:hAnsi="Verdana" w:cs="Verdana"/>
        </w:rPr>
      </w:pPr>
    </w:p>
    <w:p w:rsidR="00CC5C85" w:rsidRPr="00CD36A6" w:rsidRDefault="00CC5C85" w:rsidP="00CD36A6">
      <w:pPr>
        <w:rPr>
          <w:rFonts w:ascii="Verdana" w:hAnsi="Verdana" w:cs="Verdana"/>
        </w:rPr>
      </w:pPr>
    </w:p>
    <w:p w:rsidR="00CD36A6" w:rsidRDefault="00CD36A6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</w:p>
    <w:p w:rsidR="00650CA4" w:rsidRDefault="00650CA4" w:rsidP="00650CA4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650CA4" w:rsidRDefault="00650CA4" w:rsidP="00650CA4">
      <w:pPr>
        <w:rPr>
          <w:rFonts w:ascii="Verdana" w:hAnsi="Verdana" w:cs="Verdana"/>
          <w:bCs/>
        </w:rPr>
      </w:pPr>
    </w:p>
    <w:p w:rsidR="00650CA4" w:rsidRDefault="00650CA4"/>
    <w:sectPr w:rsidR="00650CA4" w:rsidSect="00365B97">
      <w:pgSz w:w="11906" w:h="16838"/>
      <w:pgMar w:top="851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F5" w:rsidRDefault="00BD54F5">
      <w:r>
        <w:separator/>
      </w:r>
    </w:p>
  </w:endnote>
  <w:endnote w:type="continuationSeparator" w:id="0">
    <w:p w:rsidR="00BD54F5" w:rsidRDefault="00BD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F5" w:rsidRDefault="00BD54F5">
      <w:r>
        <w:separator/>
      </w:r>
    </w:p>
  </w:footnote>
  <w:footnote w:type="continuationSeparator" w:id="0">
    <w:p w:rsidR="00BD54F5" w:rsidRDefault="00BD5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83E0C"/>
    <w:multiLevelType w:val="hybridMultilevel"/>
    <w:tmpl w:val="1F72A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C2593"/>
    <w:multiLevelType w:val="hybridMultilevel"/>
    <w:tmpl w:val="7D16564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5677"/>
    <w:multiLevelType w:val="hybridMultilevel"/>
    <w:tmpl w:val="B8AAE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1A1D31"/>
    <w:multiLevelType w:val="hybridMultilevel"/>
    <w:tmpl w:val="855CAC6A"/>
    <w:lvl w:ilvl="0" w:tplc="BE80AA1C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7658E2"/>
    <w:multiLevelType w:val="hybridMultilevel"/>
    <w:tmpl w:val="2C60ABC8"/>
    <w:lvl w:ilvl="0" w:tplc="0416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33F5F"/>
    <w:multiLevelType w:val="hybridMultilevel"/>
    <w:tmpl w:val="D3F872D8"/>
    <w:lvl w:ilvl="0" w:tplc="945AE6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CA4"/>
    <w:rsid w:val="000329F3"/>
    <w:rsid w:val="00076759"/>
    <w:rsid w:val="00106797"/>
    <w:rsid w:val="001348E6"/>
    <w:rsid w:val="001D1006"/>
    <w:rsid w:val="002465E7"/>
    <w:rsid w:val="00270D0C"/>
    <w:rsid w:val="00365B97"/>
    <w:rsid w:val="003713FD"/>
    <w:rsid w:val="00387657"/>
    <w:rsid w:val="0039425C"/>
    <w:rsid w:val="005C673B"/>
    <w:rsid w:val="005F65B9"/>
    <w:rsid w:val="00650CA4"/>
    <w:rsid w:val="00842B8D"/>
    <w:rsid w:val="0094016E"/>
    <w:rsid w:val="00967B13"/>
    <w:rsid w:val="009B20F9"/>
    <w:rsid w:val="00A35A1F"/>
    <w:rsid w:val="00A83504"/>
    <w:rsid w:val="00B338E3"/>
    <w:rsid w:val="00B724C7"/>
    <w:rsid w:val="00BD54F5"/>
    <w:rsid w:val="00BF3F3E"/>
    <w:rsid w:val="00CC5C85"/>
    <w:rsid w:val="00CD36A6"/>
    <w:rsid w:val="00CD7048"/>
    <w:rsid w:val="00E05E14"/>
    <w:rsid w:val="00E24D72"/>
    <w:rsid w:val="00EF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6"/>
    <o:shapelayout v:ext="edit">
      <o:idmap v:ext="edit" data="1"/>
      <o:rules v:ext="edit">
        <o:r id="V:Rule1" type="callout" idref="#_x0000_s1034"/>
        <o:r id="V:Rule2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CA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70D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70D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0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3483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TEF– TE em Gestão Financeira</vt:lpstr>
    </vt:vector>
  </TitlesOfParts>
  <Company/>
  <LinksUpToDate>false</LinksUpToDate>
  <CharactersWithSpaces>22304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TEF– TE em Gestão Financeira</dc:title>
  <dc:subject/>
  <dc:creator>usuario</dc:creator>
  <cp:keywords/>
  <dc:description/>
  <cp:lastModifiedBy>fabia</cp:lastModifiedBy>
  <cp:revision>4</cp:revision>
  <dcterms:created xsi:type="dcterms:W3CDTF">2009-06-29T15:57:00Z</dcterms:created>
  <dcterms:modified xsi:type="dcterms:W3CDTF">2009-06-30T19:30:00Z</dcterms:modified>
</cp:coreProperties>
</file>