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4"/>
      </w:tblGrid>
      <w:tr>
        <w:trPr>
          <w:trHeight w:hRule="atLeast" w:val="377"/>
          <w:cantSplit w:val="false"/>
        </w:trPr>
        <w:tc>
          <w:tcPr>
            <w:tcW w:type="dxa" w:w="8674"/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>
                <w:b/>
              </w:rPr>
              <w:t>Controle de Versões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>
                <w:b/>
              </w:rPr>
              <w:t>Versão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>
                <w:b/>
              </w:rPr>
              <w:t>Data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>
                <w:b/>
              </w:rPr>
              <w:t>Autor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>
                <w:b/>
              </w:rPr>
              <w:t>Notas da Revisão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1.0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30/02/2012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Elaboração Inicial – primeiro rascunho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1.1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15/03/2012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Revisão pós reunião com patrocinador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2.0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31/03/2012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Revisão final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2.1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/>
              <w:t>31/03/2013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  <w:t>Inclusão de mais 2 indicadores IQ02, IQ03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/>
              <w:t>2.2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/>
              <w:t>31/05/2015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  <w:jc w:val="left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  <w:jc w:val="left"/>
            </w:pPr>
            <w:r>
              <w:rPr/>
              <w:t xml:space="preserve">Migrado para </w:t>
            </w:r>
            <w:hyperlink r:id="rId2">
              <w:r>
                <w:rPr>
                  <w:rStyle w:val="style23"/>
                </w:rPr>
                <w:t>Plano de gerenciamento da qualidade.docx</w:t>
              </w:r>
            </w:hyperlink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/>
              <w:t>2.3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</w:pPr>
            <w:r>
              <w:rPr/>
              <w:t>29/06/2015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  <w:jc w:val="left"/>
            </w:pPr>
            <w:r>
              <w:rPr/>
              <w:t>Eduardo Montes, PMP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1"/>
              <w:jc w:val="left"/>
            </w:pPr>
            <w:r>
              <w:rPr/>
              <w:t>Revisão do Programa de Melhoria Contínua</w:t>
            </w:r>
          </w:p>
        </w:tc>
      </w:tr>
    </w:tbl>
    <w:p>
      <w:pPr>
        <w:pStyle w:val="style0"/>
      </w:pPr>
      <w:r>
        <w:rPr/>
      </w:r>
    </w:p>
    <w:p>
      <w:pPr>
        <w:pStyle w:val="style52"/>
      </w:pPr>
      <w:r>
        <w:rPr/>
        <w:t>Sumário</w:t>
      </w:r>
    </w:p>
    <w:p>
      <w:pPr>
        <w:sectPr>
          <w:headerReference r:id="rId3" w:type="default"/>
          <w:footerReference r:id="rId4" w:type="default"/>
          <w:type w:val="nextPage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4096" w:linePitch="360" w:type="default"/>
        </w:sectPr>
      </w:pPr>
    </w:p>
    <w:p>
      <w:pPr>
        <w:pStyle w:val="style48"/>
        <w:tabs>
          <w:tab w:leader="dot" w:pos="8504" w:val="right"/>
        </w:tabs>
      </w:pPr>
      <w:r>
        <w:fldChar w:fldCharType="begin"/>
      </w:r>
      <w:r>
        <w:instrText> TOC </w:instrText>
      </w:r>
      <w:r>
        <w:fldChar w:fldCharType="separate"/>
      </w:r>
      <w:hyperlink w:anchor="__RefHeading__26180_260962604">
        <w:r>
          <w:rPr>
            <w:rStyle w:val="style35"/>
          </w:rPr>
          <w:t>1Objetivo do Plano de Gerenciamento da Qualidade do Projeto</w:t>
          <w:tab/>
          <w:t>2</w:t>
        </w:r>
      </w:hyperlink>
    </w:p>
    <w:p>
      <w:pPr>
        <w:pStyle w:val="style48"/>
        <w:tabs>
          <w:tab w:leader="dot" w:pos="8504" w:val="right"/>
        </w:tabs>
      </w:pPr>
      <w:hyperlink w:anchor="__RefHeading__26182_260962604">
        <w:r>
          <w:rPr>
            <w:rStyle w:val="style35"/>
          </w:rPr>
          <w:t xml:space="preserve">2Gerenciamento da Qualidade </w:t>
          <w:tab/>
          <w:t>2</w:t>
        </w:r>
      </w:hyperlink>
    </w:p>
    <w:p>
      <w:pPr>
        <w:pStyle w:val="style49"/>
        <w:tabs>
          <w:tab w:leader="dot" w:pos="8744" w:val="right"/>
        </w:tabs>
      </w:pPr>
      <w:hyperlink w:anchor="__RefHeading__26184_260962604">
        <w:r>
          <w:rPr>
            <w:rStyle w:val="style35"/>
          </w:rPr>
          <w:t>2.1Processos de Gerenciamento da Qualidade</w:t>
          <w:tab/>
          <w:t>2</w:t>
        </w:r>
      </w:hyperlink>
    </w:p>
    <w:p>
      <w:pPr>
        <w:pStyle w:val="style49"/>
        <w:tabs>
          <w:tab w:leader="dot" w:pos="8744" w:val="right"/>
        </w:tabs>
      </w:pPr>
      <w:hyperlink w:anchor="__RefHeading__26186_260962604">
        <w:r>
          <w:rPr>
            <w:rStyle w:val="style35"/>
          </w:rPr>
          <w:t>2.2Requisitos de sucesso do projeto</w:t>
          <w:tab/>
          <w:t>2</w:t>
        </w:r>
      </w:hyperlink>
    </w:p>
    <w:p>
      <w:pPr>
        <w:pStyle w:val="style49"/>
        <w:tabs>
          <w:tab w:leader="dot" w:pos="8744" w:val="right"/>
        </w:tabs>
      </w:pPr>
      <w:hyperlink w:anchor="__RefHeading__26188_260962604">
        <w:r>
          <w:rPr>
            <w:rStyle w:val="style35"/>
          </w:rPr>
          <w:t>2.3Métricas da Qualidade</w:t>
          <w:tab/>
          <w:t>3</w:t>
        </w:r>
      </w:hyperlink>
    </w:p>
    <w:p>
      <w:pPr>
        <w:pStyle w:val="style49"/>
        <w:tabs>
          <w:tab w:leader="dot" w:pos="8744" w:val="right"/>
        </w:tabs>
      </w:pPr>
      <w:hyperlink w:anchor="__RefHeading__26190_260962604">
        <w:r>
          <w:rPr>
            <w:rStyle w:val="style35"/>
          </w:rPr>
          <w:t>2.4Ferramentas de Qualidade</w:t>
          <w:tab/>
          <w:t>3</w:t>
        </w:r>
      </w:hyperlink>
    </w:p>
    <w:p>
      <w:pPr>
        <w:pStyle w:val="style49"/>
        <w:tabs>
          <w:tab w:leader="dot" w:pos="8744" w:val="right"/>
        </w:tabs>
      </w:pPr>
      <w:hyperlink w:anchor="__RefHeading__26192_260962604">
        <w:r>
          <w:rPr>
            <w:rStyle w:val="style35"/>
          </w:rPr>
          <w:t>2.5Entregas do Projeto e Critérios de Aceitação</w:t>
          <w:tab/>
          <w:t>3</w:t>
        </w:r>
      </w:hyperlink>
    </w:p>
    <w:p>
      <w:pPr>
        <w:pStyle w:val="style48"/>
        <w:tabs>
          <w:tab w:leader="dot" w:pos="8504" w:val="right"/>
        </w:tabs>
      </w:pPr>
      <w:hyperlink w:anchor="__RefHeading__26194_260962604">
        <w:r>
          <w:rPr>
            <w:rStyle w:val="style35"/>
          </w:rPr>
          <w:t>3GARANTIA DE QUALIDADE DO PROJETO</w:t>
          <w:tab/>
          <w:t>4</w:t>
        </w:r>
      </w:hyperlink>
    </w:p>
    <w:p>
      <w:pPr>
        <w:pStyle w:val="style49"/>
        <w:tabs>
          <w:tab w:leader="dot" w:pos="8744" w:val="right"/>
        </w:tabs>
      </w:pPr>
      <w:hyperlink w:anchor="__RefHeading__26196_260962604">
        <w:r>
          <w:rPr>
            <w:rStyle w:val="style35"/>
          </w:rPr>
          <w:t>3.1Auditorias do Projeto &amp; Revisões de Qualidade</w:t>
          <w:tab/>
          <w:t>4</w:t>
        </w:r>
      </w:hyperlink>
    </w:p>
    <w:p>
      <w:pPr>
        <w:pStyle w:val="style49"/>
        <w:tabs>
          <w:tab w:leader="dot" w:pos="8744" w:val="right"/>
        </w:tabs>
      </w:pPr>
      <w:hyperlink w:anchor="__RefHeading__26198_260962604">
        <w:r>
          <w:rPr>
            <w:rStyle w:val="style35"/>
          </w:rPr>
          <w:t>3.2Processos de Melhoria Contínua</w:t>
          <w:tab/>
          <w:t>4</w:t>
        </w:r>
      </w:hyperlink>
    </w:p>
    <w:p>
      <w:pPr>
        <w:pStyle w:val="style49"/>
        <w:tabs>
          <w:tab w:leader="dot" w:pos="8744" w:val="right"/>
        </w:tabs>
      </w:pPr>
      <w:hyperlink w:anchor="__RefHeading__26200_260962604">
        <w:r>
          <w:rPr>
            <w:rStyle w:val="style35"/>
          </w:rPr>
          <w:t>3.3Responsabilidades de Qualidade da Equipe do Projeto</w:t>
          <w:tab/>
          <w:t>5</w:t>
        </w:r>
      </w:hyperlink>
    </w:p>
    <w:p>
      <w:pPr>
        <w:pStyle w:val="style48"/>
        <w:tabs>
          <w:tab w:leader="dot" w:pos="8504" w:val="right"/>
        </w:tabs>
      </w:pPr>
      <w:hyperlink w:anchor="__RefHeading__26202_260962604">
        <w:r>
          <w:rPr>
            <w:rStyle w:val="style35"/>
          </w:rPr>
          <w:t>4CONTROLE DE QUALIDADE DO PROJETO</w:t>
          <w:tab/>
          <w:t>6</w:t>
        </w:r>
      </w:hyperlink>
    </w:p>
    <w:p>
      <w:pPr>
        <w:pStyle w:val="style49"/>
        <w:tabs>
          <w:tab w:leader="dot" w:pos="8744" w:val="right"/>
        </w:tabs>
      </w:pPr>
      <w:hyperlink w:anchor="__RefHeading__26204_260962604">
        <w:r>
          <w:rPr>
            <w:rStyle w:val="style35"/>
          </w:rPr>
          <w:t>4.1Procedimentos de Inspeção</w:t>
          <w:tab/>
          <w:t>6</w:t>
        </w:r>
      </w:hyperlink>
    </w:p>
    <w:p>
      <w:pPr>
        <w:pStyle w:val="style49"/>
        <w:tabs>
          <w:tab w:leader="dot" w:pos="8744" w:val="right"/>
        </w:tabs>
      </w:pPr>
      <w:hyperlink w:anchor="__RefHeading__26206_260962604">
        <w:r>
          <w:rPr>
            <w:rStyle w:val="style35"/>
          </w:rPr>
          <w:t>4.2Procedimentos de Monitoramento</w:t>
          <w:tab/>
          <w:t>6</w:t>
        </w:r>
      </w:hyperlink>
      <w:r>
        <w:fldChar w:fldCharType="end"/>
      </w:r>
    </w:p>
    <w:p>
      <w:pPr>
        <w:sectPr>
          <w:type w:val="continuous"/>
          <w:pgSz w:h="16838" w:w="11906"/>
          <w:pgMar w:bottom="1417" w:footer="708" w:gutter="0" w:header="708" w:left="1701" w:right="1701" w:top="1417"/>
          <w:formProt/>
          <w:textDirection w:val="lrTb"/>
          <w:docGrid w:charSpace="4096" w:linePitch="360" w:type="default"/>
        </w:sectPr>
      </w:pPr>
    </w:p>
    <w:p>
      <w:pPr>
        <w:pStyle w:val="style0"/>
      </w:pPr>
      <w:hyperlink w:anchor="_Toc442887379">
        <w:r>
          <w:rPr/>
        </w:r>
      </w:hyperlink>
    </w:p>
    <w:p>
      <w:pPr>
        <w:pStyle w:val="style0"/>
      </w:pPr>
      <w:r>
        <w:rPr/>
      </w:r>
    </w:p>
    <w:p>
      <w:pPr>
        <w:pStyle w:val="style0"/>
      </w:pPr>
      <w:r>
        <w:rPr>
          <w:rFonts w:cs="Arial"/>
        </w:rPr>
      </w:r>
    </w:p>
    <w:p>
      <w:pPr>
        <w:sectPr>
          <w:type w:val="continuous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4096" w:linePitch="360" w:type="default"/>
        </w:sectPr>
        <w:pStyle w:val="style0"/>
      </w:pPr>
      <w:r>
        <w:rPr/>
      </w:r>
    </w:p>
    <w:p>
      <w:pPr>
        <w:pStyle w:val="style1"/>
        <w:numPr>
          <w:ilvl w:val="0"/>
          <w:numId w:val="1"/>
        </w:numPr>
      </w:pPr>
      <w:bookmarkStart w:id="0" w:name="__RefHeading__26180_260962604"/>
      <w:bookmarkStart w:id="1" w:name="_Toc442887379"/>
      <w:bookmarkStart w:id="2" w:name="_Toc341694027"/>
      <w:bookmarkEnd w:id="0"/>
      <w:bookmarkEnd w:id="1"/>
      <w:bookmarkEnd w:id="2"/>
      <w:r>
        <w:rPr/>
        <w:t>Objetivo do Plano de Gerenciamento da Qualidade do Projeto</w:t>
      </w:r>
    </w:p>
    <w:p>
      <w:pPr>
        <w:pStyle w:val="style50"/>
      </w:pPr>
      <w:r>
        <w:rPr>
          <w:rFonts w:cs="Arial"/>
        </w:rPr>
        <w:t>[O plano de gerenciamento da qualidade descreve como a equipe de gerenciamento de projetos implementará a política de qualidade da organização executora. ]</w:t>
      </w:r>
    </w:p>
    <w:p>
      <w:pPr>
        <w:pStyle w:val="style0"/>
      </w:pPr>
      <w:r>
        <w:rPr>
          <w:rFonts w:cs="Arial"/>
        </w:rPr>
        <w:t xml:space="preserve">O </w:t>
      </w:r>
      <w:hyperlink r:id="rId5">
        <w:r>
          <w:rPr>
            <w:rStyle w:val="style23"/>
            <w:rFonts w:cs="Arial"/>
          </w:rPr>
          <w:t>Plano de gerenciamento da qualidade</w:t>
        </w:r>
      </w:hyperlink>
      <w:r>
        <w:rPr>
          <w:rFonts w:cs="Arial"/>
        </w:rPr>
        <w:t xml:space="preserve"> define requisitos e padrões da qualidade aplicáveis ao projeto e as suas entregas e descreve como será verificado a conformidade das entregas respeitando a política de qualidade da empresa.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</w:r>
    </w:p>
    <w:p>
      <w:pPr>
        <w:pStyle w:val="style1"/>
        <w:numPr>
          <w:ilvl w:val="0"/>
          <w:numId w:val="1"/>
        </w:numPr>
      </w:pPr>
      <w:bookmarkStart w:id="3" w:name="__RefHeading__26182_260962604"/>
      <w:bookmarkStart w:id="4" w:name="_Toc67755726"/>
      <w:bookmarkStart w:id="5" w:name="_Toc442887380"/>
      <w:bookmarkStart w:id="6" w:name="_Toc341694028"/>
      <w:bookmarkEnd w:id="3"/>
      <w:r>
        <w:rPr/>
        <w:t>Gerenciamento da Qualidade</w:t>
      </w:r>
      <w:bookmarkEnd w:id="5"/>
      <w:bookmarkEnd w:id="6"/>
      <w:bookmarkEnd w:id="4"/>
      <w:r>
        <w:rPr/>
        <w:t xml:space="preserve"> </w:t>
      </w:r>
    </w:p>
    <w:p>
      <w:pPr>
        <w:pStyle w:val="style50"/>
      </w:pPr>
      <w:r>
        <w:rPr>
          <w:rFonts w:cs="Arial"/>
        </w:rPr>
        <w:t>[Use as seções seguintes para identificar os componentes do Plano de Qualidade ou modifique-as para encontrar suas necessidades. ]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/>
        <w:t xml:space="preserve">Gerenciar a qualidade do projeto requer um plano de qualidade aprovado englobando os principais processos de qualidade definidos abaixo. O plano de qualidade é desenvolvido e aprovado durante a fase de planejamento do projeto para confirmar </w:t>
      </w:r>
      <w:r>
        <w:rPr>
          <w:rFonts w:cs="Arial"/>
        </w:rPr>
        <w:t>requisitos e padrões da qualidade aplicáveis ao projeto e as suas entregas</w:t>
      </w:r>
      <w:r>
        <w:rPr/>
        <w:t xml:space="preserve"> e gerenciar os processos de projeto aprovados.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7" w:name="__RefHeading__26184_260962604"/>
      <w:bookmarkStart w:id="8" w:name="_Toc442887381"/>
      <w:bookmarkStart w:id="9" w:name="_Toc341694029"/>
      <w:bookmarkEnd w:id="7"/>
      <w:bookmarkEnd w:id="8"/>
      <w:bookmarkEnd w:id="9"/>
      <w:r>
        <w:rPr/>
        <w:t>Processos de Gerenciamento da Qualidade</w:t>
      </w:r>
    </w:p>
    <w:p>
      <w:pPr>
        <w:pStyle w:val="style0"/>
      </w:pPr>
      <w:r>
        <w:rPr/>
      </w:r>
    </w:p>
    <w:p>
      <w:pPr>
        <w:pStyle w:val="style0"/>
      </w:pPr>
      <w:r>
        <w:rPr/>
        <w:t>Garantia de Qualidade</w:t>
      </w:r>
    </w:p>
    <w:p>
      <w:pPr>
        <w:pStyle w:val="style0"/>
        <w:ind w:hanging="0" w:left="720" w:right="0"/>
      </w:pPr>
      <w:r>
        <w:rPr/>
        <w:t>Auditoria dos requisitos de qualidade e dos resultados das medições do controle da qualidade para garantir que sejam usados os padrões de qualidade e definições operacionais apropriados.</w:t>
      </w:r>
    </w:p>
    <w:p>
      <w:pPr>
        <w:pStyle w:val="style0"/>
        <w:ind w:hanging="0" w:left="720" w:right="0"/>
      </w:pPr>
      <w:r>
        <w:rPr>
          <w:bCs/>
        </w:rPr>
        <w:t>Também inclui a melhoria contínua do processo, meio iterativo de melhorar a qualidade de todos os processos. A melhoria contínua de processos reduz o desperdício e elimina as atividades que não agregam valor, permitindo que os processos sejam operados com níveis mais altos de eficiência e eficácia.</w:t>
      </w:r>
    </w:p>
    <w:p>
      <w:pPr>
        <w:pStyle w:val="style0"/>
      </w:pPr>
      <w:r>
        <w:rPr>
          <w:bCs/>
        </w:rPr>
      </w:r>
    </w:p>
    <w:p>
      <w:pPr>
        <w:pStyle w:val="style0"/>
      </w:pPr>
      <w:r>
        <w:rPr/>
        <w:t>Controle de Qualidade</w:t>
      </w:r>
    </w:p>
    <w:p>
      <w:pPr>
        <w:pStyle w:val="style0"/>
        <w:ind w:hanging="0" w:left="720" w:right="0"/>
      </w:pPr>
      <w:r>
        <w:rPr/>
        <w:t xml:space="preserve">Monitoramento e registro dos resultados da execução das atividades de qualidade para avaliar o desempenho e recomendar as mudanças necessárias. 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10" w:name="__RefHeading__26186_260962604"/>
      <w:bookmarkStart w:id="11" w:name="_Toc442887382"/>
      <w:bookmarkStart w:id="12" w:name="_Toc341694030"/>
      <w:bookmarkEnd w:id="10"/>
      <w:bookmarkEnd w:id="11"/>
      <w:bookmarkEnd w:id="12"/>
      <w:r>
        <w:rPr/>
        <w:t>Requisitos de sucesso do projeto</w:t>
      </w:r>
    </w:p>
    <w:p>
      <w:pPr>
        <w:pStyle w:val="style50"/>
      </w:pPr>
      <w:r>
        <w:rPr/>
        <w:t>[Explicar como será determinado se o projeto foi um sucesso. ]</w:t>
      </w:r>
    </w:p>
    <w:p>
      <w:pPr>
        <w:pStyle w:val="style50"/>
      </w:pPr>
      <w:r>
        <w:rPr/>
      </w:r>
    </w:p>
    <w:p>
      <w:pPr>
        <w:pStyle w:val="style50"/>
      </w:pPr>
      <w:r>
        <w:rPr/>
      </w:r>
    </w:p>
    <w:p>
      <w:pPr>
        <w:pStyle w:val="style0"/>
      </w:pPr>
      <w:r>
        <w:rPr>
          <w:rFonts w:cs="Arial"/>
        </w:rPr>
        <w:t>O projeto será considerado um sucesso se atender a todos os critérios de aceitação das entregas, respeitar as restrições e cumprir o cronograma de execução e principalmente atender os requisitos e padrões de qualidade detalhados nesse plano:</w:t>
      </w:r>
    </w:p>
    <w:p>
      <w:pPr>
        <w:pStyle w:val="style54"/>
        <w:numPr>
          <w:ilvl w:val="0"/>
          <w:numId w:val="7"/>
        </w:numPr>
      </w:pPr>
      <w:r>
        <w:rPr/>
        <w:t>Atendimento rápido no Call Center (Detalhado na seção Métricas da Qualidade).</w:t>
      </w:r>
    </w:p>
    <w:p>
      <w:pPr>
        <w:pStyle w:val="style0"/>
      </w:pPr>
      <w:r>
        <w:rPr>
          <w:rFonts w:cs="Arial"/>
        </w:rPr>
      </w:r>
    </w:p>
    <w:p>
      <w:pPr>
        <w:pStyle w:val="style2"/>
        <w:numPr>
          <w:ilvl w:val="1"/>
          <w:numId w:val="1"/>
        </w:numPr>
      </w:pPr>
      <w:bookmarkStart w:id="13" w:name="__RefHeading__26188_260962604"/>
      <w:bookmarkStart w:id="14" w:name="_Toc442887383"/>
      <w:bookmarkStart w:id="15" w:name="_Toc341694031"/>
      <w:bookmarkEnd w:id="13"/>
      <w:bookmarkEnd w:id="14"/>
      <w:bookmarkEnd w:id="15"/>
      <w:r>
        <w:rPr/>
        <w:t>Métricas da Qualidade</w:t>
      </w:r>
    </w:p>
    <w:p>
      <w:pPr>
        <w:pStyle w:val="style50"/>
      </w:pPr>
      <w:r>
        <w:rPr/>
        <w:t>[Lista os padrões e requisitos de qualidade usados e como serão satisfeitos. Para os padrões de mercado, referenciar a Norma ABNT ou Internacional, e para os padrões da empresa, referenciar o procedimento do SGQ (Sistema de Gestão da Qualidade) ou documento de referência. Anexar os documentos referenciados. ]</w:t>
      </w:r>
    </w:p>
    <w:p>
      <w:pPr>
        <w:pStyle w:val="style0"/>
      </w:pPr>
      <w:r>
        <w:rPr/>
        <w:t>Os padrões de mercado ou da organização a serem atingidos estão descritos abaixo e suas respectivas Normas e Procedimentos estão em anexo.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364"/>
        <w:gridCol w:w="6355"/>
      </w:tblGrid>
      <w:tr>
        <w:trPr>
          <w:trHeight w:hRule="atLeast" w:val="432"/>
          <w:cantSplit w:val="false"/>
        </w:trPr>
        <w:tc>
          <w:tcPr>
            <w:tcW w:type="dxa" w:w="23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Padrão</w:t>
            </w:r>
          </w:p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</w:r>
          </w:p>
        </w:tc>
        <w:tc>
          <w:tcPr>
            <w:tcW w:type="dxa" w:w="6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Norma ABNT/</w:t>
            </w:r>
          </w:p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Procedimento do SGQ</w:t>
            </w:r>
          </w:p>
        </w:tc>
      </w:tr>
      <w:tr>
        <w:trPr>
          <w:cantSplit w:val="false"/>
        </w:trPr>
        <w:tc>
          <w:tcPr>
            <w:tcW w:type="dxa" w:w="23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ABNT NBR 15786:2010</w:t>
            </w:r>
          </w:p>
        </w:tc>
        <w:tc>
          <w:tcPr>
            <w:tcW w:type="dxa" w:w="6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Esta norma especifica as características físicas, dimensionais e ergonômicas dos móveis de tele atendimento e os métodos de ensaio para a determinação de estabilidade, resistência e durabilidade dos móveis.</w:t>
            </w:r>
          </w:p>
        </w:tc>
      </w:tr>
    </w:tbl>
    <w:p>
      <w:pPr>
        <w:pStyle w:val="style50"/>
      </w:pPr>
      <w:r>
        <w:rPr/>
      </w:r>
    </w:p>
    <w:p>
      <w:pPr>
        <w:pStyle w:val="style0"/>
      </w:pPr>
      <w:r>
        <w:rPr>
          <w:rFonts w:cs="Arial"/>
          <w:bCs/>
        </w:rPr>
        <w:t>Os requisitos de qualidade a serem atingidos pelo projeto estão descritos a seguir. O detalhamento dos indicadores de qualidade está descrito na seção “Processos de Monitoramento” neste plano.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627"/>
        <w:gridCol w:w="4860"/>
        <w:gridCol w:w="1441"/>
      </w:tblGrid>
      <w:tr>
        <w:trPr>
          <w:trHeight w:hRule="atLeast" w:val="432"/>
          <w:cantSplit w:val="false"/>
        </w:trPr>
        <w:tc>
          <w:tcPr>
            <w:tcW w:type="dxa" w:w="26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</w:r>
          </w:p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Requisito de Qualidade</w:t>
            </w:r>
          </w:p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</w:r>
          </w:p>
        </w:tc>
        <w:tc>
          <w:tcPr>
            <w:tcW w:type="dxa" w:w="48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Ações para atingimento</w:t>
            </w:r>
          </w:p>
        </w:tc>
        <w:tc>
          <w:tcPr>
            <w:tcW w:type="dxa" w:w="14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cs="Arial"/>
                <w:b/>
                <w:bCs/>
                <w:iCs/>
              </w:rPr>
              <w:t>Indicadores</w:t>
            </w:r>
          </w:p>
        </w:tc>
      </w:tr>
      <w:tr>
        <w:trPr>
          <w:cantSplit w:val="false"/>
        </w:trPr>
        <w:tc>
          <w:tcPr>
            <w:tcW w:type="dxa" w:w="26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Atendimento rápido no Call Center</w:t>
            </w:r>
          </w:p>
        </w:tc>
        <w:tc>
          <w:tcPr>
            <w:tcW w:type="dxa" w:w="48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>Criar scripts de atendimento para capacitar os atendentes e agilizar seu atendimento.</w:t>
            </w:r>
          </w:p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>Estimar a demanda e estabelecer o número adequado de atendentes.</w:t>
            </w:r>
          </w:p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>Treinar os atendentes nas técnicas de atendimento rápido.</w:t>
            </w:r>
          </w:p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>Estabelecer meta de atendimento para os atendentes.</w:t>
            </w:r>
          </w:p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>Monitorar o tempo de atendimento utilizando os indicadores de qualidade definidos.</w:t>
            </w:r>
          </w:p>
          <w:p>
            <w:pPr>
              <w:pStyle w:val="style54"/>
              <w:numPr>
                <w:ilvl w:val="0"/>
                <w:numId w:val="6"/>
              </w:numPr>
            </w:pPr>
            <w:r>
              <w:rPr/>
              <w:t xml:space="preserve">Aperfeiçoar continuamente o atendimento conforme detalhado na seção </w:t>
            </w:r>
            <w:r>
              <w:rPr>
                <w:u w:val="single"/>
              </w:rPr>
              <w:t>Processos de Melhoria Contínua</w:t>
            </w:r>
            <w:r>
              <w:rPr/>
              <w:t>.</w:t>
            </w:r>
          </w:p>
        </w:tc>
        <w:tc>
          <w:tcPr>
            <w:tcW w:type="dxa" w:w="14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IQ01: Percentual de chamadas atendidas no primeiro toque.</w:t>
            </w:r>
          </w:p>
          <w:p>
            <w:pPr>
              <w:pStyle w:val="style0"/>
            </w:pPr>
            <w:r>
              <w:rPr/>
              <w:t>IQ02: Tempo médio de atendimento.</w:t>
            </w:r>
          </w:p>
          <w:p>
            <w:pPr>
              <w:pStyle w:val="style0"/>
            </w:pPr>
            <w:r>
              <w:rPr/>
              <w:t>IQ03: Tempo médio de espera.</w:t>
            </w:r>
          </w:p>
        </w:tc>
      </w:tr>
    </w:tbl>
    <w:p>
      <w:pPr>
        <w:pStyle w:val="style0"/>
      </w:pPr>
      <w:r>
        <w:rPr>
          <w:rFonts w:cs="Arial"/>
          <w:iCs/>
        </w:rPr>
      </w:r>
    </w:p>
    <w:p>
      <w:pPr>
        <w:pStyle w:val="style0"/>
      </w:pPr>
      <w:r>
        <w:rPr>
          <w:rFonts w:cs="Arial"/>
          <w:iCs/>
        </w:rPr>
      </w:r>
    </w:p>
    <w:p>
      <w:pPr>
        <w:pStyle w:val="style2"/>
        <w:numPr>
          <w:ilvl w:val="1"/>
          <w:numId w:val="1"/>
        </w:numPr>
      </w:pPr>
      <w:bookmarkStart w:id="16" w:name="__RefHeading__26190_260962604"/>
      <w:bookmarkStart w:id="17" w:name="_Toc442887384"/>
      <w:bookmarkStart w:id="18" w:name="_Toc341694032"/>
      <w:bookmarkEnd w:id="16"/>
      <w:bookmarkEnd w:id="17"/>
      <w:bookmarkEnd w:id="18"/>
      <w:r>
        <w:rPr/>
        <w:t>Ferramentas de Qualidade</w:t>
      </w:r>
    </w:p>
    <w:p>
      <w:pPr>
        <w:pStyle w:val="style50"/>
      </w:pPr>
      <w:r>
        <w:rPr/>
        <w:t>[Lista as ferramentas de qualidade que o projeto empregará. Descreve como serão usadas e o responsável por isso. ]</w:t>
      </w:r>
    </w:p>
    <w:p>
      <w:pPr>
        <w:pStyle w:val="style50"/>
      </w:pPr>
      <w:r>
        <w:rPr/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701"/>
        <w:gridCol w:w="2929"/>
        <w:gridCol w:w="2116"/>
        <w:gridCol w:w="1973"/>
      </w:tblGrid>
      <w:tr>
        <w:trPr>
          <w:trHeight w:hRule="atLeast" w:val="691"/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Ferramenta</w:t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Descrição da aplicação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Quando aplicar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Responsável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CheckList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Aplicável em todos as entregas deste projeto.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Ao término de cada etapa, conforme definido no cronograma do projeto.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Gerente do Projeto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Gráfico de Ishikawa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Identificação da causa raiz de um determinado problema (causas comuns e causas especiais)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Quando uma entrega não for aprovada na inspeção do controle de qualidade.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Gerente do Projeto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Gráfico de Pareto</w:t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Analisar os problemas e priorizar os mais críticos para tomada de decisões e melhoria de processos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Quando houver ocorrências de inconformidade na qualidade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Gerente do Projeto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Auditoria do Processo</w:t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Aplicável a todos os processos de execução do projeto.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Mensalmente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Auditor</w:t>
            </w:r>
          </w:p>
        </w:tc>
      </w:tr>
    </w:tbl>
    <w:p>
      <w:pPr>
        <w:pStyle w:val="style50"/>
      </w:pPr>
      <w:r>
        <w:rPr/>
      </w:r>
    </w:p>
    <w:p>
      <w:pPr>
        <w:pStyle w:val="style0"/>
      </w:pPr>
      <w:r>
        <w:rPr>
          <w:rFonts w:cs="Arial"/>
        </w:rPr>
      </w:r>
    </w:p>
    <w:p>
      <w:pPr>
        <w:pStyle w:val="style2"/>
        <w:numPr>
          <w:ilvl w:val="1"/>
          <w:numId w:val="1"/>
        </w:numPr>
      </w:pPr>
      <w:bookmarkStart w:id="19" w:name="__RefHeading__26192_260962604"/>
      <w:bookmarkStart w:id="20" w:name="_Toc442887385"/>
      <w:bookmarkStart w:id="21" w:name="_Toc341694033"/>
      <w:bookmarkEnd w:id="19"/>
      <w:bookmarkEnd w:id="20"/>
      <w:bookmarkEnd w:id="21"/>
      <w:r>
        <w:rPr/>
        <w:t>Entregas do Projeto e Critérios de Aceitação</w:t>
      </w:r>
    </w:p>
    <w:p>
      <w:pPr>
        <w:pStyle w:val="style50"/>
      </w:pPr>
      <w:r>
        <w:rPr/>
        <w:t>[Baseado nos requisitos de qualidade a EAP, identifique as principais entregas, seus critérios de aceitação e como e quando (checkpoint) serão usados. ]</w:t>
      </w:r>
    </w:p>
    <w:p>
      <w:pPr>
        <w:pStyle w:val="style0"/>
      </w:pPr>
      <w:r>
        <w:rPr>
          <w:rFonts w:cs="Arial"/>
          <w:iCs/>
        </w:rPr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620"/>
        <w:gridCol w:w="2534"/>
        <w:gridCol w:w="4658"/>
        <w:gridCol w:w="1569"/>
      </w:tblGrid>
      <w:tr>
        <w:trPr>
          <w:trHeight w:hRule="atLeast" w:val="432"/>
          <w:cantSplit w:val="false"/>
        </w:trPr>
        <w:tc>
          <w:tcPr>
            <w:tcW w:type="dxa" w:w="6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Cód.</w:t>
            </w:r>
          </w:p>
          <w:p>
            <w:pPr>
              <w:pStyle w:val="style0"/>
            </w:pPr>
            <w:r>
              <w:rPr/>
              <w:t>EAP</w:t>
            </w:r>
          </w:p>
        </w:tc>
        <w:tc>
          <w:tcPr>
            <w:tcW w:type="dxa" w:w="25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Entrega</w:t>
            </w:r>
          </w:p>
        </w:tc>
        <w:tc>
          <w:tcPr>
            <w:tcW w:type="dxa" w:w="46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Critérios de aceitação</w:t>
            </w:r>
          </w:p>
        </w:tc>
        <w:tc>
          <w:tcPr>
            <w:tcW w:type="dxa" w:w="1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Quando será verificado</w:t>
            </w:r>
          </w:p>
        </w:tc>
      </w:tr>
      <w:tr>
        <w:trPr>
          <w:cantSplit w:val="false"/>
        </w:trPr>
        <w:tc>
          <w:tcPr>
            <w:tcW w:type="dxa" w:w="6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  <w:p>
            <w:pPr>
              <w:pStyle w:val="style0"/>
            </w:pPr>
            <w:r>
              <w:rPr>
                <w:rFonts w:cs="Arial"/>
              </w:rPr>
            </w:r>
          </w:p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5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Scripts de atendimento</w:t>
            </w:r>
          </w:p>
        </w:tc>
        <w:tc>
          <w:tcPr>
            <w:tcW w:type="dxa" w:w="46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4"/>
              <w:numPr>
                <w:ilvl w:val="0"/>
                <w:numId w:val="2"/>
              </w:numPr>
            </w:pPr>
            <w:r>
              <w:rPr>
                <w:rFonts w:cs="Arial"/>
              </w:rPr>
              <w:t>100% dos scripts definidos e cadastrados no sistema.</w:t>
            </w:r>
          </w:p>
          <w:p>
            <w:pPr>
              <w:pStyle w:val="style54"/>
              <w:numPr>
                <w:ilvl w:val="0"/>
                <w:numId w:val="2"/>
              </w:numPr>
            </w:pPr>
            <w:r>
              <w:rPr>
                <w:rFonts w:cs="Arial"/>
              </w:rPr>
              <w:t>Zero erros gramaticais nos scripts.</w:t>
            </w:r>
          </w:p>
          <w:p>
            <w:pPr>
              <w:pStyle w:val="style54"/>
              <w:numPr>
                <w:ilvl w:val="0"/>
                <w:numId w:val="2"/>
              </w:numPr>
            </w:pPr>
            <w:r>
              <w:rPr>
                <w:rFonts w:cs="Arial"/>
              </w:rPr>
              <w:t>Tempo de leitura de cada script inferior ou igual a 15 segundos.</w:t>
            </w:r>
          </w:p>
        </w:tc>
        <w:tc>
          <w:tcPr>
            <w:tcW w:type="dxa" w:w="15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Ao término do cadastramento dos scripts no sistema.</w:t>
            </w:r>
          </w:p>
        </w:tc>
      </w:tr>
    </w:tbl>
    <w:p>
      <w:pPr>
        <w:pStyle w:val="style50"/>
      </w:pPr>
      <w:r>
        <w:rPr/>
      </w:r>
    </w:p>
    <w:p>
      <w:pPr>
        <w:pStyle w:val="style1"/>
        <w:numPr>
          <w:ilvl w:val="0"/>
          <w:numId w:val="1"/>
        </w:numPr>
      </w:pPr>
      <w:bookmarkStart w:id="22" w:name="__RefHeading__26194_260962604"/>
      <w:bookmarkStart w:id="23" w:name="_Toc67755727"/>
      <w:bookmarkStart w:id="24" w:name="_Toc442887386"/>
      <w:bookmarkStart w:id="25" w:name="_Toc341694034"/>
      <w:bookmarkEnd w:id="22"/>
      <w:bookmarkEnd w:id="23"/>
      <w:bookmarkEnd w:id="24"/>
      <w:bookmarkEnd w:id="25"/>
      <w:r>
        <w:rPr/>
        <w:t>GARANTIA DE QUALIDADE DO PROJETO</w:t>
      </w:r>
    </w:p>
    <w:p>
      <w:pPr>
        <w:pStyle w:val="style50"/>
      </w:pPr>
      <w:r>
        <w:rPr/>
        <w:t>[Define atividades de garantia de qualidade para o projeto incluindo auditorias, e processos de melhoria contínua.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26" w:name="__RefHeading__26196_260962604"/>
      <w:bookmarkStart w:id="27" w:name="_Toc442887387"/>
      <w:bookmarkStart w:id="28" w:name="_Toc341694035"/>
      <w:bookmarkStart w:id="29" w:name="_Toc67755737"/>
      <w:bookmarkEnd w:id="26"/>
      <w:r>
        <w:rPr/>
        <w:t xml:space="preserve">Auditorias do Projeto &amp; Revisões </w:t>
      </w:r>
      <w:bookmarkEnd w:id="29"/>
      <w:bookmarkEnd w:id="27"/>
      <w:bookmarkEnd w:id="28"/>
      <w:r>
        <w:rPr/>
        <w:t>de Qualidade</w:t>
      </w:r>
    </w:p>
    <w:p>
      <w:pPr>
        <w:pStyle w:val="style50"/>
      </w:pPr>
      <w:r>
        <w:rPr/>
        <w:t>[Análise estruturada e independente que busca identificar políticas, processos e procedimentos ineficientes e ineficazes em uso no projeto e não aderentes às políticas e procedimentos do projeto e da empresa]</w:t>
      </w:r>
    </w:p>
    <w:tbl>
      <w:tblPr>
        <w:jc w:val="left"/>
        <w:tblInd w:type="dxa" w:w="1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338"/>
        <w:gridCol w:w="1260"/>
        <w:gridCol w:w="1732"/>
        <w:gridCol w:w="3309"/>
      </w:tblGrid>
      <w:tr>
        <w:trPr>
          <w:trHeight w:hRule="atLeast" w:val="576"/>
          <w:cantSplit w:val="false"/>
        </w:trPr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Revisões de Qualidade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Data Prevista</w:t>
            </w:r>
          </w:p>
        </w:tc>
        <w:tc>
          <w:tcPr>
            <w:tcW w:type="dxa" w:w="17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Auditor responsável</w:t>
            </w:r>
          </w:p>
        </w:tc>
        <w:tc>
          <w:tcPr>
            <w:tcW w:type="dxa" w:w="33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Comentários</w:t>
            </w:r>
          </w:p>
        </w:tc>
      </w:tr>
      <w:tr>
        <w:trPr>
          <w:trHeight w:hRule="atLeast" w:val="272"/>
          <w:cantSplit w:val="false"/>
        </w:trPr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60" w:before="20"/>
              <w:contextualSpacing w:val="false"/>
            </w:pPr>
            <w:r>
              <w:rPr>
                <w:rFonts w:cs="Arial"/>
              </w:rPr>
              <w:t>Processo de atendimento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60" w:before="20"/>
              <w:contextualSpacing w:val="false"/>
            </w:pPr>
            <w:r>
              <w:rPr>
                <w:rFonts w:cs="Arial"/>
              </w:rPr>
              <w:t>Todo primeiro dia útil do mês</w:t>
            </w:r>
          </w:p>
        </w:tc>
        <w:tc>
          <w:tcPr>
            <w:tcW w:type="dxa" w:w="17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60" w:before="20"/>
              <w:contextualSpacing w:val="false"/>
            </w:pPr>
            <w:r>
              <w:rPr>
                <w:rFonts w:cs="Arial"/>
              </w:rPr>
              <w:t>Auditor</w:t>
            </w:r>
          </w:p>
        </w:tc>
        <w:tc>
          <w:tcPr>
            <w:tcW w:type="dxa" w:w="33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60" w:before="20"/>
              <w:contextualSpacing w:val="false"/>
            </w:pPr>
            <w:r>
              <w:rPr>
                <w:rFonts w:cs="Arial"/>
              </w:rPr>
              <w:t>Verificação da execução atual do processo de atendimento e sua aderência ao processo padrão definido no documento “Processos do Call Center”, item 21.</w:t>
            </w:r>
          </w:p>
        </w:tc>
      </w:tr>
    </w:tbl>
    <w:p>
      <w:pPr>
        <w:pStyle w:val="style0"/>
      </w:pPr>
      <w:r>
        <w:rPr>
          <w:rFonts w:cs="Arial"/>
        </w:rPr>
      </w:r>
    </w:p>
    <w:p>
      <w:pPr>
        <w:pStyle w:val="style2"/>
        <w:numPr>
          <w:ilvl w:val="1"/>
          <w:numId w:val="1"/>
        </w:numPr>
      </w:pPr>
      <w:bookmarkStart w:id="30" w:name="__RefHeading__26198_260962604"/>
      <w:bookmarkStart w:id="31" w:name="_Toc67755743"/>
      <w:bookmarkStart w:id="32" w:name="_Toc442887388"/>
      <w:bookmarkStart w:id="33" w:name="_Toc341694036"/>
      <w:bookmarkEnd w:id="30"/>
      <w:bookmarkEnd w:id="32"/>
      <w:bookmarkEnd w:id="33"/>
      <w:r>
        <w:rPr/>
        <w:t>Processos de Melhoria Contínua</w:t>
      </w:r>
    </w:p>
    <w:p>
      <w:pPr>
        <w:pStyle w:val="style50"/>
      </w:pPr>
      <w:r>
        <w:rPr>
          <w:rFonts w:cs="Arial"/>
        </w:rPr>
        <w:t>[Meio iterativo de melhorar a qualidade de todos os processos. Reduz o desperdício e elimina as atividades que não agregam valor, permitindo que os processos sejam operados com níveis mais altos de eficiência e eficácia. ]</w:t>
      </w:r>
    </w:p>
    <w:p>
      <w:pPr>
        <w:pStyle w:val="style0"/>
      </w:pPr>
      <w:r>
        <w:rPr>
          <w:rFonts w:cs="Arial"/>
        </w:rPr>
        <w:t>O processo de melhoria contínua é baseado no ciclo PDCA (Plan-Do-Check-Act) e detalha as etapas de análise de processos para identificar as atividades que aumentam o seu valor, possibilitando gerenciá-las de forma eficiente e eficaz ao aplicar a técnica de análise de processos durante a execução do projeto.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>A cada ciclo concluído do projeto serão observados as lições aprendidas e o valor que cada processo agregou na qualidade das entregas e na melhoria dos indicadores monitorados. Os processos serão revisitados e monitorados a fim de garantir sua eficiência e evitar desvios das metas estipuladas.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>O ciclo PDCA consiste em quatro fases, conforme a seguir:</w:t>
      </w:r>
    </w:p>
    <w:p>
      <w:pPr>
        <w:pStyle w:val="style0"/>
        <w:numPr>
          <w:ilvl w:val="0"/>
          <w:numId w:val="3"/>
        </w:numPr>
      </w:pPr>
      <w:r>
        <w:rPr>
          <w:rFonts w:cs="Arial"/>
        </w:rPr>
        <w:t>Plan (Planejamento) – responsável por estabelecer metas e objetivos para serem alcançados e padronização dos procedimentos que serão utilizados;</w:t>
      </w:r>
    </w:p>
    <w:p>
      <w:pPr>
        <w:pStyle w:val="style0"/>
        <w:numPr>
          <w:ilvl w:val="0"/>
          <w:numId w:val="3"/>
        </w:numPr>
      </w:pPr>
      <w:r>
        <w:rPr>
          <w:rFonts w:cs="Arial"/>
        </w:rPr>
        <w:t>Do (Execução) – fase de implementação do planejamento, momento responsável por coletar os dados, que serão avaliados posteriormente na fase de verificação;</w:t>
      </w:r>
    </w:p>
    <w:p>
      <w:pPr>
        <w:pStyle w:val="style0"/>
        <w:numPr>
          <w:ilvl w:val="0"/>
          <w:numId w:val="3"/>
        </w:numPr>
      </w:pPr>
      <w:r>
        <w:rPr>
          <w:rFonts w:cs="Arial"/>
        </w:rPr>
        <w:t>Check (Verificação) – esta fase é responsável por verificar se a meta planejada foi devidamente alcançada, nesta fase, utiliza-se de ferramentas que apoiam na verificação, exemplo: ferramenta de controle e acompanhamento, histogramas, folhas de verificação etc.;</w:t>
      </w:r>
    </w:p>
    <w:p>
      <w:pPr>
        <w:pStyle w:val="style0"/>
        <w:numPr>
          <w:ilvl w:val="0"/>
          <w:numId w:val="3"/>
        </w:numPr>
      </w:pPr>
      <w:r>
        <w:rPr>
          <w:rFonts w:cs="Arial"/>
        </w:rPr>
        <w:t>Act (Ação corretiva) – fase que consiste em buscar as causas e prevenir efeitos indesejados e adotar padrões de processos que apoiaram as próximas etapas do projeto.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>Essas fases podem ser divididas nos seguintes passos:</w:t>
      </w:r>
    </w:p>
    <w:p>
      <w:pPr>
        <w:pStyle w:val="style0"/>
        <w:numPr>
          <w:ilvl w:val="0"/>
          <w:numId w:val="4"/>
        </w:numPr>
      </w:pPr>
      <w:r>
        <w:rPr>
          <w:rFonts w:cs="Arial"/>
        </w:rPr>
        <w:t>Planejamento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Identificação do Problema;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Observação;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Análise;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Plano de Ação;</w:t>
      </w:r>
    </w:p>
    <w:p>
      <w:pPr>
        <w:pStyle w:val="style0"/>
        <w:numPr>
          <w:ilvl w:val="0"/>
          <w:numId w:val="4"/>
        </w:numPr>
      </w:pPr>
      <w:r>
        <w:rPr>
          <w:rFonts w:cs="Arial"/>
        </w:rPr>
        <w:t>Execução;</w:t>
      </w:r>
    </w:p>
    <w:p>
      <w:pPr>
        <w:pStyle w:val="style0"/>
        <w:numPr>
          <w:ilvl w:val="0"/>
          <w:numId w:val="4"/>
        </w:numPr>
      </w:pPr>
      <w:r>
        <w:rPr>
          <w:rFonts w:cs="Arial"/>
        </w:rPr>
        <w:t>Verificação;</w:t>
      </w:r>
    </w:p>
    <w:p>
      <w:pPr>
        <w:pStyle w:val="style0"/>
        <w:numPr>
          <w:ilvl w:val="0"/>
          <w:numId w:val="4"/>
        </w:numPr>
      </w:pPr>
      <w:r>
        <w:rPr>
          <w:rFonts w:cs="Arial"/>
        </w:rPr>
        <w:t>Ação corretiva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Padronização;</w:t>
      </w:r>
    </w:p>
    <w:p>
      <w:pPr>
        <w:pStyle w:val="style0"/>
        <w:numPr>
          <w:ilvl w:val="1"/>
          <w:numId w:val="4"/>
        </w:numPr>
      </w:pPr>
      <w:r>
        <w:rPr>
          <w:rFonts w:cs="Arial"/>
        </w:rPr>
        <w:t>Conclusão.</w:t>
      </w:r>
    </w:p>
    <w:p>
      <w:pPr>
        <w:pStyle w:val="style0"/>
      </w:pPr>
      <w:r>
        <w:rPr>
          <w:rFonts w:cs="Arial"/>
        </w:rPr>
        <w:t>Desta forma, além de promovermos a melhoria contínua dos processos, também buscaremos a satisfação gradativa do cliente.</w:t>
      </w:r>
    </w:p>
    <w:p>
      <w:pPr>
        <w:pStyle w:val="style0"/>
      </w:pPr>
      <w:r>
        <w:rPr>
          <w:rFonts w:cs="Arial"/>
        </w:rPr>
      </w:r>
    </w:p>
    <w:p>
      <w:pPr>
        <w:pStyle w:val="style2"/>
        <w:numPr>
          <w:ilvl w:val="1"/>
          <w:numId w:val="1"/>
        </w:numPr>
      </w:pPr>
      <w:bookmarkStart w:id="34" w:name="_Toc67755743"/>
      <w:bookmarkStart w:id="35" w:name="__RefHeading__26200_260962604"/>
      <w:bookmarkStart w:id="36" w:name="_Toc442887389"/>
      <w:bookmarkStart w:id="37" w:name="_Toc341694037"/>
      <w:bookmarkEnd w:id="35"/>
      <w:r>
        <w:rPr/>
        <w:t>Respon</w:t>
      </w:r>
      <w:bookmarkEnd w:id="34"/>
      <w:bookmarkEnd w:id="36"/>
      <w:bookmarkEnd w:id="37"/>
      <w:r>
        <w:rPr/>
        <w:t>sabilidades de Qualidade da Equipe do Projeto</w:t>
      </w:r>
    </w:p>
    <w:p>
      <w:pPr>
        <w:pStyle w:val="style50"/>
      </w:pPr>
      <w:r>
        <w:rPr/>
        <w:t>[Descreva as responsabilidades referentes aos processos de qualidade de cada membro do projeto, mesmo que já citados em outros tópicos do documento. ]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943"/>
        <w:gridCol w:w="5776"/>
      </w:tblGrid>
      <w:tr>
        <w:trPr>
          <w:trHeight w:hRule="atLeast" w:val="432"/>
          <w:cantSplit w:val="false"/>
        </w:trPr>
        <w:tc>
          <w:tcPr>
            <w:tcW w:type="dxa" w:w="29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Membro da Equipe</w:t>
            </w:r>
          </w:p>
        </w:tc>
        <w:tc>
          <w:tcPr>
            <w:tcW w:type="dxa" w:w="57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Responsabilidades</w:t>
            </w:r>
          </w:p>
        </w:tc>
      </w:tr>
      <w:tr>
        <w:trPr>
          <w:cantSplit w:val="false"/>
        </w:trPr>
        <w:tc>
          <w:tcPr>
            <w:tcW w:type="dxa" w:w="29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Supervisor geral de atendimento</w:t>
            </w:r>
          </w:p>
        </w:tc>
        <w:tc>
          <w:tcPr>
            <w:tcW w:type="dxa" w:w="57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Acompanhamento das auditorias de qualidade no processo de atendimento.</w:t>
            </w:r>
          </w:p>
        </w:tc>
      </w:tr>
      <w:tr>
        <w:trPr>
          <w:cantSplit w:val="false"/>
        </w:trPr>
        <w:tc>
          <w:tcPr>
            <w:tcW w:type="dxa" w:w="29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Coordenador de atendentes</w:t>
            </w:r>
          </w:p>
        </w:tc>
        <w:tc>
          <w:tcPr>
            <w:tcW w:type="dxa" w:w="57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Diariamente</w:t>
            </w:r>
          </w:p>
          <w:p>
            <w:pPr>
              <w:pStyle w:val="style0"/>
            </w:pPr>
            <w:r>
              <w:rPr>
                <w:rFonts w:cs="Arial"/>
              </w:rPr>
              <w:t>Executar as medições dos indicadores IQ01, IQ02 e IQ03.</w:t>
            </w:r>
          </w:p>
        </w:tc>
      </w:tr>
      <w:tr>
        <w:trPr>
          <w:cantSplit w:val="false"/>
        </w:trPr>
        <w:tc>
          <w:tcPr>
            <w:tcW w:type="dxa" w:w="29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Supervisor de Qualidade</w:t>
            </w:r>
          </w:p>
        </w:tc>
        <w:tc>
          <w:tcPr>
            <w:tcW w:type="dxa" w:w="57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Responsável pelo processo de melhoria contínua.</w:t>
            </w:r>
          </w:p>
          <w:p>
            <w:pPr>
              <w:pStyle w:val="style0"/>
            </w:pPr>
            <w:r>
              <w:rPr>
                <w:rFonts w:cs="Arial"/>
              </w:rPr>
              <w:t>Diariamente</w:t>
            </w:r>
          </w:p>
          <w:p>
            <w:pPr>
              <w:pStyle w:val="style54"/>
              <w:numPr>
                <w:ilvl w:val="0"/>
                <w:numId w:val="5"/>
              </w:numPr>
            </w:pPr>
            <w:r>
              <w:rPr>
                <w:rFonts w:cs="Arial"/>
              </w:rPr>
              <w:t>Identificar junto aos atendentes e ao seu coordenador as causas das 10 ligações que tiveram o maior desvio em relação à meta.</w:t>
            </w:r>
          </w:p>
          <w:p>
            <w:pPr>
              <w:pStyle w:val="style0"/>
            </w:pPr>
            <w:r>
              <w:rPr>
                <w:rFonts w:cs="Arial"/>
              </w:rPr>
              <w:t>Semanalmente</w:t>
            </w:r>
          </w:p>
          <w:p>
            <w:pPr>
              <w:pStyle w:val="style54"/>
              <w:numPr>
                <w:ilvl w:val="0"/>
                <w:numId w:val="5"/>
              </w:numPr>
            </w:pPr>
            <w:r>
              <w:rPr>
                <w:rFonts w:cs="Arial"/>
              </w:rPr>
              <w:t>Propor plano de ação para resolver as causas;</w:t>
            </w:r>
          </w:p>
          <w:p>
            <w:pPr>
              <w:pStyle w:val="style54"/>
              <w:numPr>
                <w:ilvl w:val="0"/>
                <w:numId w:val="5"/>
              </w:numPr>
            </w:pPr>
            <w:r>
              <w:rPr>
                <w:rFonts w:cs="Arial"/>
              </w:rPr>
              <w:t>Acompanhar o plano e</w:t>
            </w:r>
          </w:p>
          <w:p>
            <w:pPr>
              <w:pStyle w:val="style54"/>
              <w:numPr>
                <w:ilvl w:val="0"/>
                <w:numId w:val="5"/>
              </w:numPr>
            </w:pPr>
            <w:r>
              <w:rPr>
                <w:rFonts w:cs="Arial"/>
              </w:rPr>
              <w:t>Implantar as ações corretivas;</w:t>
            </w:r>
          </w:p>
          <w:p>
            <w:pPr>
              <w:pStyle w:val="style54"/>
              <w:numPr>
                <w:ilvl w:val="0"/>
                <w:numId w:val="5"/>
              </w:numPr>
            </w:pPr>
            <w:r>
              <w:rPr>
                <w:rFonts w:cs="Arial"/>
              </w:rPr>
              <w:t xml:space="preserve">Reportar os resultados. </w:t>
            </w:r>
          </w:p>
        </w:tc>
      </w:tr>
    </w:tbl>
    <w:p>
      <w:pPr>
        <w:pStyle w:val="style0"/>
      </w:pPr>
      <w:r>
        <w:rPr/>
      </w:r>
    </w:p>
    <w:p>
      <w:pPr>
        <w:sectPr>
          <w:headerReference r:id="rId6" w:type="default"/>
          <w:footerReference r:id="rId7" w:type="default"/>
          <w:type w:val="nextPage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4096" w:linePitch="360" w:type="default"/>
        </w:sectPr>
        <w:pStyle w:val="style0"/>
      </w:pPr>
      <w:bookmarkStart w:id="38" w:name="_Toc67755727"/>
      <w:bookmarkStart w:id="39" w:name="_Toc67755727"/>
      <w:bookmarkEnd w:id="39"/>
      <w:r>
        <w:rPr/>
      </w:r>
    </w:p>
    <w:p>
      <w:pPr>
        <w:pStyle w:val="style1"/>
        <w:numPr>
          <w:ilvl w:val="0"/>
          <w:numId w:val="1"/>
        </w:numPr>
      </w:pPr>
      <w:bookmarkStart w:id="40" w:name="__RefHeading__26202_260962604"/>
      <w:bookmarkStart w:id="41" w:name="_Toc442887390"/>
      <w:bookmarkStart w:id="42" w:name="_Toc341694039"/>
      <w:bookmarkEnd w:id="40"/>
      <w:bookmarkEnd w:id="41"/>
      <w:bookmarkEnd w:id="42"/>
      <w:r>
        <w:rPr/>
        <w:t>CONTROLE DE QUALIDADE DO PROJETO</w:t>
      </w:r>
    </w:p>
    <w:p>
      <w:pPr>
        <w:pStyle w:val="style0"/>
      </w:pPr>
      <w:r>
        <w:rPr/>
      </w:r>
    </w:p>
    <w:p>
      <w:pPr>
        <w:pStyle w:val="style50"/>
      </w:pPr>
      <w:r>
        <w:rPr/>
        <w:t xml:space="preserve">[Descreva os procedimentos do processo </w:t>
      </w:r>
      <w:hyperlink r:id="rId8">
        <w:r>
          <w:rPr>
            <w:rStyle w:val="style23"/>
          </w:rPr>
          <w:t>Controlar a qualidade</w:t>
        </w:r>
      </w:hyperlink>
      <w:r>
        <w:rPr/>
        <w:t>, como as inspeções, que serão feitas, etc. Segue abaixo um exemplo.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3" w:name="__RefHeading__26204_260962604"/>
      <w:bookmarkStart w:id="44" w:name="_Toc442887391"/>
      <w:bookmarkStart w:id="45" w:name="_Toc417922111"/>
      <w:bookmarkStart w:id="46" w:name="_Toc417921712"/>
      <w:bookmarkEnd w:id="43"/>
      <w:r>
        <w:rPr/>
        <w:t xml:space="preserve">Procedimentos de </w:t>
      </w:r>
      <w:bookmarkEnd w:id="45"/>
      <w:bookmarkEnd w:id="46"/>
      <w:bookmarkEnd w:id="44"/>
      <w:r>
        <w:rPr/>
        <w:t>Inspeção</w:t>
      </w:r>
    </w:p>
    <w:p>
      <w:pPr>
        <w:pStyle w:val="style0"/>
      </w:pPr>
      <w:r>
        <w:rPr/>
      </w:r>
    </w:p>
    <w:p>
      <w:pPr>
        <w:pStyle w:val="style0"/>
      </w:pPr>
      <w:r>
        <w:rPr/>
        <w:t>A inspeção será realizada na conclusão de cada entrega utilizando-se CheckList apresentado em anexo e respectivamente, os seus indicadores, a fim de manter a qualidade do projeto e alimentar o processo de melhoria contínua.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7" w:name="__RefHeading__26206_260962604"/>
      <w:bookmarkStart w:id="48" w:name="_Toc442887392"/>
      <w:bookmarkStart w:id="49" w:name="_Toc417922112"/>
      <w:bookmarkStart w:id="50" w:name="_Toc417921713"/>
      <w:bookmarkEnd w:id="47"/>
      <w:bookmarkEnd w:id="48"/>
      <w:bookmarkEnd w:id="49"/>
      <w:bookmarkEnd w:id="50"/>
      <w:r>
        <w:rPr/>
        <w:t>Procedimentos de Monitoramento</w:t>
      </w:r>
    </w:p>
    <w:p>
      <w:pPr>
        <w:pStyle w:val="style50"/>
      </w:pPr>
      <w:r>
        <w:rPr/>
        <w:t xml:space="preserve">[Use o </w:t>
      </w:r>
      <w:hyperlink r:id="rId9">
        <w:r>
          <w:rPr>
            <w:rStyle w:val="style23"/>
          </w:rPr>
          <w:t>Template de Métricas da Qualidade xlsx</w:t>
        </w:r>
      </w:hyperlink>
      <w:r>
        <w:rPr/>
        <w:t xml:space="preserve"> para indicar quais indicadores serão monitorados, como, em qual frequência, ... ]</w:t>
      </w:r>
    </w:p>
    <w:p>
      <w:pPr>
        <w:pStyle w:val="style50"/>
      </w:pPr>
      <w:r>
        <w:rPr/>
      </w:r>
    </w:p>
    <w:p>
      <w:pPr>
        <w:pStyle w:val="style0"/>
      </w:pPr>
      <w:r>
        <w:rPr/>
        <w:t xml:space="preserve">Para atingir os requisitos de qualidade será feito o monitoramento dos indicadores conforme a planilha de </w:t>
      </w:r>
      <w:hyperlink r:id="rId10">
        <w:r>
          <w:rPr>
            <w:rStyle w:val="style23"/>
          </w:rPr>
          <w:t>Métricas da Qualidade Call Center.xlsx</w:t>
        </w:r>
      </w:hyperlink>
      <w:r>
        <w:rPr/>
        <w:t xml:space="preserve"> em anexo.</w:t>
      </w:r>
    </w:p>
    <w:p>
      <w:pPr>
        <w:pStyle w:val="style0"/>
      </w:pPr>
      <w:r>
        <w:rPr/>
      </w:r>
    </w:p>
    <w:p>
      <w:pPr>
        <w:pStyle w:val="style0"/>
      </w:pPr>
      <w:bookmarkStart w:id="51" w:name="_GoBack"/>
      <w:bookmarkStart w:id="52" w:name="_GoBack"/>
      <w:bookmarkEnd w:id="52"/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5"/>
      </w:tblGrid>
      <w:tr>
        <w:trPr>
          <w:trHeight w:hRule="atLeast" w:val="377"/>
          <w:cantSplit w:val="false"/>
        </w:trPr>
        <w:tc>
          <w:tcPr>
            <w:tcW w:type="dxa" w:w="8675"/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Aprovações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Participante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Assinatura</w:t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Data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5"/>
            </w:pPr>
            <w:r>
              <w:rPr/>
              <w:t>Patrocinador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5"/>
            </w:pPr>
            <w:r>
              <w:rPr/>
              <w:t>Gerente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headerReference r:id="rId11" w:type="default"/>
      <w:footerReference r:id="rId12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</w:tblBorders>
    </w:tblPr>
    <w:tblGrid>
      <w:gridCol w:w="4174"/>
      <w:gridCol w:w="5302"/>
    </w:tblGrid>
    <w:tr>
      <w:trPr>
        <w:cantSplit w:val="false"/>
      </w:trPr>
      <w:tc>
        <w:tcPr>
          <w:tcW w:type="dxa" w:w="4174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</w:pPr>
          <w:r>
            <w:rPr/>
            <w:fldChar w:fldCharType="begin"/>
          </w:r>
          <w:r>
            <w:instrText> FILENAME </w:instrText>
          </w:r>
          <w:r>
            <w:fldChar w:fldCharType="separate"/>
          </w:r>
          <w:r>
            <w:t>Plano de gerenciamento da qualidade vExemplo</w:t>
          </w:r>
          <w:r>
            <w:fldChar w:fldCharType="end"/>
          </w:r>
        </w:p>
      </w:tc>
      <w:tc>
        <w:tcPr>
          <w:tcW w:type="dxa" w:w="5302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  <w:jc w:val="right"/>
          </w:pPr>
          <w:r>
            <w:rPr>
              <w:color w:val="244061"/>
            </w:rPr>
            <w:t xml:space="preserve">Página </w:t>
          </w:r>
          <w:r>
            <w:rPr>
              <w:color w:val="244061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244061"/>
            </w:rPr>
            <w:t xml:space="preserve"> de </w:t>
          </w:r>
          <w:r>
            <w:rPr>
              <w:color w:val="244061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</w:tr>
    <w:tr>
      <w:trPr>
        <w:cantSplit w:val="false"/>
      </w:trPr>
      <w:tc>
        <w:tcPr>
          <w:tcW w:type="dxa" w:w="4174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</w:pPr>
          <w:r>
            <w:rPr/>
          </w:r>
        </w:p>
      </w:tc>
      <w:tc>
        <w:tcPr>
          <w:tcW w:type="dxa" w:w="5302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2"/>
            <w:spacing w:after="120" w:before="120"/>
            <w:contextualSpacing w:val="false"/>
            <w:jc w:val="right"/>
          </w:pPr>
          <w:hyperlink r:id="rId1">
            <w:r>
              <w:rPr/>
            </w:r>
          </w:hyperlink>
        </w:p>
      </w:tc>
    </w:tr>
  </w:tbl>
  <w:p>
    <w:pPr>
      <w:pStyle w:val="style42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2"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2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tblBorders>
    </w:tblPr>
    <w:tblGrid>
      <w:gridCol w:w="6491"/>
      <w:gridCol w:w="1956"/>
    </w:tblGrid>
    <w:tr>
      <w:trPr>
        <w:trHeight w:hRule="atLeast" w:val="567"/>
        <w:cantSplit w:val="false"/>
      </w:trPr>
      <w:tc>
        <w:tcPr>
          <w:tcW w:type="dxa" w:w="6491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1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TITLE </w:instrText>
          </w:r>
          <w:r>
            <w:fldChar w:fldCharType="separate"/>
          </w:r>
          <w:r>
            <w:t>Plano de gerenciamento da qualidade</w:t>
          </w:r>
          <w:r>
            <w:fldChar w:fldCharType="end"/>
          </w:r>
        </w:p>
      </w:tc>
      <w:tc>
        <w:tcPr>
          <w:tcW w:type="dxa" w:w="1956"/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50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</w:r>
        </w:p>
      </w:tc>
    </w:tr>
    <w:tr>
      <w:trPr>
        <w:trHeight w:hRule="atLeast" w:val="567"/>
        <w:cantSplit w:val="false"/>
      </w:trPr>
      <w:tc>
        <w:tcPr>
          <w:tcW w:type="dxa" w:w="6491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1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SUBJECT </w:instrText>
          </w:r>
          <w:r>
            <w:fldChar w:fldCharType="separate"/>
          </w:r>
          <w:r>
            <w:t>Atendimento rápido no Call Center</w:t>
          </w:r>
          <w:r>
            <w:fldChar w:fldCharType="end"/>
          </w:r>
        </w:p>
      </w:tc>
      <w:tc>
        <w:tcPr>
          <w:tcW w:type="dxa" w:w="1956"/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1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b/>
              <w:sz w:val="20"/>
              <w:szCs w:val="20"/>
              <w:lang w:eastAsia="pt-BR"/>
            </w:rPr>
          </w:r>
        </w:p>
      </w:tc>
    </w:tr>
  </w:tbl>
  <w:p>
    <w:pPr>
      <w:pStyle w:val="style41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1"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1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705" w:left="1065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37"/>
    <w:pPr>
      <w:keepNext/>
      <w:keepLines/>
      <w:numPr>
        <w:ilvl w:val="0"/>
        <w:numId w:val="1"/>
      </w:numPr>
      <w:spacing w:after="0" w:before="120"/>
      <w:contextualSpacing w:val="false"/>
      <w:outlineLvl w:val="0"/>
    </w:pPr>
    <w:rPr>
      <w:rFonts w:ascii="Cambria" w:cs="" w:hAnsi="Cambria"/>
      <w:b/>
      <w:bCs/>
      <w:color w:val="365F91"/>
      <w:sz w:val="28"/>
      <w:szCs w:val="28"/>
      <w:u w:val="single"/>
    </w:rPr>
  </w:style>
  <w:style w:styleId="style2" w:type="paragraph">
    <w:name w:val="Título 2"/>
    <w:basedOn w:val="style0"/>
    <w:next w:val="style37"/>
    <w:pPr>
      <w:keepNext/>
      <w:keepLines/>
      <w:numPr>
        <w:ilvl w:val="1"/>
        <w:numId w:val="1"/>
      </w:numPr>
      <w:spacing w:after="0" w:before="200"/>
      <w:contextualSpacing w:val="false"/>
      <w:outlineLvl w:val="1"/>
    </w:pPr>
    <w:rPr>
      <w:rFonts w:ascii="Cambria" w:cs="" w:hAnsi="Cambria"/>
      <w:b/>
      <w:bCs/>
      <w:color w:val="4F81BD"/>
      <w:sz w:val="28"/>
      <w:szCs w:val="26"/>
    </w:rPr>
  </w:style>
  <w:style w:styleId="style3" w:type="paragraph">
    <w:name w:val="Título 3"/>
    <w:basedOn w:val="style0"/>
    <w:next w:val="style37"/>
    <w:pPr>
      <w:keepNext/>
      <w:keepLines/>
      <w:numPr>
        <w:ilvl w:val="2"/>
        <w:numId w:val="1"/>
      </w:numPr>
      <w:spacing w:after="0" w:before="120"/>
      <w:contextualSpacing w:val="false"/>
      <w:outlineLvl w:val="2"/>
    </w:pPr>
    <w:rPr>
      <w:rFonts w:ascii="Cambria" w:cs="" w:hAnsi="Cambria"/>
      <w:b/>
      <w:bCs/>
      <w:color w:val="365F91"/>
      <w:sz w:val="28"/>
    </w:rPr>
  </w:style>
  <w:style w:styleId="style4" w:type="paragraph">
    <w:name w:val="Título 4"/>
    <w:basedOn w:val="style0"/>
    <w:next w:val="style37"/>
    <w:pPr>
      <w:keepNext/>
      <w:keepLines/>
      <w:numPr>
        <w:ilvl w:val="3"/>
        <w:numId w:val="1"/>
      </w:numPr>
      <w:spacing w:after="0" w:before="200"/>
      <w:contextualSpacing w:val="false"/>
      <w:outlineLvl w:val="3"/>
    </w:pPr>
    <w:rPr>
      <w:rFonts w:ascii="Cambria" w:cs="" w:hAnsi="Cambria"/>
      <w:b/>
      <w:bCs/>
      <w:i/>
      <w:iCs/>
      <w:color w:val="4F81BD"/>
    </w:rPr>
  </w:style>
  <w:style w:styleId="style5" w:type="paragraph">
    <w:name w:val="Título 5"/>
    <w:basedOn w:val="style0"/>
    <w:next w:val="style37"/>
    <w:pPr>
      <w:keepNext/>
      <w:keepLines/>
      <w:numPr>
        <w:ilvl w:val="4"/>
        <w:numId w:val="1"/>
      </w:numPr>
      <w:spacing w:after="0" w:before="40"/>
      <w:contextualSpacing w:val="false"/>
      <w:outlineLvl w:val="4"/>
    </w:pPr>
    <w:rPr>
      <w:rFonts w:ascii="Cambria" w:cs="" w:hAnsi="Cambria"/>
      <w:color w:val="365F91"/>
    </w:rPr>
  </w:style>
  <w:style w:styleId="style6" w:type="paragraph">
    <w:name w:val="Título 6"/>
    <w:basedOn w:val="style0"/>
    <w:next w:val="style37"/>
    <w:pPr>
      <w:keepNext/>
      <w:keepLines/>
      <w:numPr>
        <w:ilvl w:val="5"/>
        <w:numId w:val="1"/>
      </w:numPr>
      <w:spacing w:after="0" w:before="40"/>
      <w:contextualSpacing w:val="false"/>
      <w:outlineLvl w:val="5"/>
    </w:pPr>
    <w:rPr>
      <w:rFonts w:ascii="Cambria" w:cs="" w:hAnsi="Cambria"/>
      <w:color w:val="243F60"/>
    </w:rPr>
  </w:style>
  <w:style w:styleId="style7" w:type="paragraph">
    <w:name w:val="Título 7"/>
    <w:basedOn w:val="style0"/>
    <w:next w:val="style37"/>
    <w:pPr>
      <w:keepNext/>
      <w:keepLines/>
      <w:numPr>
        <w:ilvl w:val="6"/>
        <w:numId w:val="1"/>
      </w:numPr>
      <w:spacing w:after="0" w:before="40"/>
      <w:contextualSpacing w:val="false"/>
      <w:outlineLvl w:val="6"/>
    </w:pPr>
    <w:rPr>
      <w:rFonts w:ascii="Cambria" w:cs="" w:hAnsi="Cambria"/>
      <w:i/>
      <w:iCs/>
      <w:color w:val="243F60"/>
    </w:rPr>
  </w:style>
  <w:style w:styleId="style8" w:type="paragraph">
    <w:name w:val="Título 8"/>
    <w:basedOn w:val="style0"/>
    <w:next w:val="style37"/>
    <w:pPr>
      <w:keepNext/>
      <w:keepLines/>
      <w:numPr>
        <w:ilvl w:val="7"/>
        <w:numId w:val="1"/>
      </w:numPr>
      <w:spacing w:after="0" w:before="40"/>
      <w:contextualSpacing w:val="false"/>
      <w:outlineLvl w:val="7"/>
    </w:pPr>
    <w:rPr>
      <w:rFonts w:ascii="Cambria" w:cs="" w:hAnsi="Cambria"/>
      <w:color w:val="272727"/>
      <w:sz w:val="21"/>
      <w:szCs w:val="21"/>
    </w:rPr>
  </w:style>
  <w:style w:styleId="style9" w:type="paragraph">
    <w:name w:val="Título 9"/>
    <w:basedOn w:val="style0"/>
    <w:next w:val="style37"/>
    <w:pPr>
      <w:keepNext/>
      <w:keepLines/>
      <w:numPr>
        <w:ilvl w:val="8"/>
        <w:numId w:val="1"/>
      </w:numPr>
      <w:spacing w:after="0" w:before="40"/>
      <w:contextualSpacing w:val="false"/>
      <w:outlineLvl w:val="8"/>
    </w:pPr>
    <w:rPr>
      <w:rFonts w:ascii="Cambria" w:cs="" w:hAnsi="Cambria"/>
      <w:i/>
      <w:iCs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Heading 1 Char"/>
    <w:basedOn w:val="style15"/>
    <w:next w:val="style19"/>
    <w:rPr>
      <w:rFonts w:ascii="Cambria" w:cs="" w:hAnsi="Cambria"/>
      <w:b/>
      <w:bCs/>
      <w:color w:val="365F91"/>
      <w:sz w:val="28"/>
      <w:szCs w:val="28"/>
      <w:u w:val="single"/>
    </w:rPr>
  </w:style>
  <w:style w:styleId="style20" w:type="character">
    <w:name w:val="Heading 3 Char"/>
    <w:basedOn w:val="style15"/>
    <w:next w:val="style20"/>
    <w:rPr>
      <w:rFonts w:ascii="Cambria" w:cs="" w:hAnsi="Cambria"/>
      <w:b/>
      <w:bCs/>
      <w:color w:val="365F91"/>
      <w:sz w:val="28"/>
    </w:rPr>
  </w:style>
  <w:style w:styleId="style21" w:type="character">
    <w:name w:val="Heading 2 Char"/>
    <w:basedOn w:val="style15"/>
    <w:next w:val="style21"/>
    <w:rPr>
      <w:rFonts w:ascii="Cambria" w:cs="" w:hAnsi="Cambria"/>
      <w:b/>
      <w:bCs/>
      <w:color w:val="4F81BD"/>
      <w:sz w:val="28"/>
      <w:szCs w:val="26"/>
    </w:rPr>
  </w:style>
  <w:style w:styleId="style22" w:type="character">
    <w:name w:val="Title Char"/>
    <w:basedOn w:val="style15"/>
    <w:next w:val="style22"/>
    <w:rPr>
      <w:rFonts w:ascii="Arial" w:cs="Times New Roman" w:eastAsia="Times New Roman" w:hAnsi="Arial"/>
      <w:b/>
      <w:sz w:val="28"/>
      <w:szCs w:val="20"/>
      <w:lang w:val="en-US"/>
    </w:rPr>
  </w:style>
  <w:style w:styleId="style23" w:type="character">
    <w:name w:val="Link da Internet"/>
    <w:basedOn w:val="style15"/>
    <w:next w:val="style23"/>
    <w:rPr>
      <w:color w:val="0000FF"/>
      <w:u w:val="single"/>
      <w:lang w:bidi="pt-BR" w:eastAsia="pt-BR" w:val="pt-BR"/>
    </w:rPr>
  </w:style>
  <w:style w:styleId="style24" w:type="character">
    <w:name w:val="Heading 4 Char"/>
    <w:basedOn w:val="style15"/>
    <w:next w:val="style24"/>
    <w:rPr>
      <w:rFonts w:ascii="Cambria" w:cs="" w:hAnsi="Cambria"/>
      <w:b/>
      <w:bCs/>
      <w:i/>
      <w:iCs/>
      <w:color w:val="4F81BD"/>
      <w:sz w:val="20"/>
    </w:rPr>
  </w:style>
  <w:style w:styleId="style25" w:type="character">
    <w:name w:val="Placeholder Text"/>
    <w:basedOn w:val="style15"/>
    <w:next w:val="style25"/>
    <w:rPr>
      <w:color w:val="808080"/>
    </w:rPr>
  </w:style>
  <w:style w:styleId="style26" w:type="character">
    <w:name w:val="Comments Char"/>
    <w:basedOn w:val="style15"/>
    <w:next w:val="style26"/>
    <w:rPr>
      <w:rFonts w:cs="Times New Roman" w:eastAsia="Times"/>
      <w:sz w:val="16"/>
      <w:szCs w:val="20"/>
      <w:lang w:eastAsia="pt-BR"/>
    </w:rPr>
  </w:style>
  <w:style w:styleId="style27" w:type="character">
    <w:name w:val="Versões Char"/>
    <w:basedOn w:val="style15"/>
    <w:next w:val="style27"/>
    <w:rPr>
      <w:rFonts w:ascii="Calibri" w:hAnsi="Calibri"/>
    </w:rPr>
  </w:style>
  <w:style w:styleId="style28" w:type="character">
    <w:name w:val="Heading 5 Char"/>
    <w:basedOn w:val="style15"/>
    <w:next w:val="style28"/>
    <w:rPr>
      <w:rFonts w:ascii="Cambria" w:cs="" w:hAnsi="Cambria"/>
      <w:color w:val="365F91"/>
    </w:rPr>
  </w:style>
  <w:style w:styleId="style29" w:type="character">
    <w:name w:val="Heading 6 Char"/>
    <w:basedOn w:val="style15"/>
    <w:next w:val="style29"/>
    <w:rPr>
      <w:rFonts w:ascii="Cambria" w:cs="" w:hAnsi="Cambria"/>
      <w:color w:val="243F60"/>
    </w:rPr>
  </w:style>
  <w:style w:styleId="style30" w:type="character">
    <w:name w:val="Heading 7 Char"/>
    <w:basedOn w:val="style15"/>
    <w:next w:val="style30"/>
    <w:rPr>
      <w:rFonts w:ascii="Cambria" w:cs="" w:hAnsi="Cambria"/>
      <w:i/>
      <w:iCs/>
      <w:color w:val="243F60"/>
    </w:rPr>
  </w:style>
  <w:style w:styleId="style31" w:type="character">
    <w:name w:val="Heading 8 Char"/>
    <w:basedOn w:val="style15"/>
    <w:next w:val="style31"/>
    <w:rPr>
      <w:rFonts w:ascii="Cambria" w:cs="" w:hAnsi="Cambria"/>
      <w:color w:val="272727"/>
      <w:sz w:val="21"/>
      <w:szCs w:val="21"/>
    </w:rPr>
  </w:style>
  <w:style w:styleId="style32" w:type="character">
    <w:name w:val="Heading 9 Char"/>
    <w:basedOn w:val="style15"/>
    <w:next w:val="style32"/>
    <w:rPr>
      <w:rFonts w:ascii="Cambria" w:cs="" w:hAnsi="Cambria"/>
      <w:i/>
      <w:iCs/>
      <w:color w:val="272727"/>
      <w:sz w:val="21"/>
      <w:szCs w:val="21"/>
    </w:rPr>
  </w:style>
  <w:style w:styleId="style33" w:type="character">
    <w:name w:val="FollowedHyperlink"/>
    <w:basedOn w:val="style15"/>
    <w:next w:val="style33"/>
    <w:rPr>
      <w:color w:val="800080"/>
      <w:u w:val="single"/>
    </w:rPr>
  </w:style>
  <w:style w:styleId="style34" w:type="character">
    <w:name w:val="ListLabel 1"/>
    <w:next w:val="style34"/>
    <w:rPr>
      <w:rFonts w:cs="Courier New"/>
    </w:rPr>
  </w:style>
  <w:style w:styleId="style35" w:type="character">
    <w:name w:val="Vínculo de índice"/>
    <w:next w:val="style35"/>
    <w:rPr/>
  </w:style>
  <w:style w:styleId="style36" w:type="paragraph">
    <w:name w:val="Título"/>
    <w:basedOn w:val="style0"/>
    <w:next w:val="style3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7" w:type="paragraph">
    <w:name w:val="Corpo de texto"/>
    <w:basedOn w:val="style0"/>
    <w:next w:val="style37"/>
    <w:pPr>
      <w:spacing w:after="120" w:before="0"/>
      <w:contextualSpacing w:val="false"/>
    </w:pPr>
    <w:rPr/>
  </w:style>
  <w:style w:styleId="style38" w:type="paragraph">
    <w:name w:val="Lista"/>
    <w:basedOn w:val="style37"/>
    <w:next w:val="style38"/>
    <w:pPr/>
    <w:rPr>
      <w:rFonts w:cs="Mangal"/>
    </w:rPr>
  </w:style>
  <w:style w:styleId="style39" w:type="paragraph">
    <w:name w:val="Legenda"/>
    <w:basedOn w:val="style0"/>
    <w:next w:val="style3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0" w:type="paragraph">
    <w:name w:val="Índice"/>
    <w:basedOn w:val="style0"/>
    <w:next w:val="style40"/>
    <w:pPr>
      <w:suppressLineNumbers/>
    </w:pPr>
    <w:rPr>
      <w:rFonts w:cs="Mangal"/>
    </w:rPr>
  </w:style>
  <w:style w:styleId="style41" w:type="paragraph">
    <w:name w:val="Cabeçalho"/>
    <w:basedOn w:val="style0"/>
    <w:next w:val="style41"/>
    <w:pPr>
      <w:suppressLineNumbers/>
      <w:tabs>
        <w:tab w:leader="none" w:pos="4252" w:val="center"/>
        <w:tab w:leader="none" w:pos="8504" w:val="right"/>
      </w:tabs>
    </w:pPr>
    <w:rPr/>
  </w:style>
  <w:style w:styleId="style42" w:type="paragraph">
    <w:name w:val="Rodapé"/>
    <w:basedOn w:val="style0"/>
    <w:next w:val="style42"/>
    <w:pPr>
      <w:suppressLineNumbers/>
      <w:tabs>
        <w:tab w:leader="none" w:pos="4252" w:val="center"/>
        <w:tab w:leader="none" w:pos="8504" w:val="right"/>
      </w:tabs>
    </w:pPr>
    <w:rPr/>
  </w:style>
  <w:style w:styleId="style43" w:type="paragraph">
    <w:name w:val="Descrição"/>
    <w:basedOn w:val="style41"/>
    <w:next w:val="style43"/>
    <w:pPr>
      <w:tabs>
        <w:tab w:leader="none" w:pos="4320" w:val="center"/>
        <w:tab w:leader="none" w:pos="8640" w:val="right"/>
      </w:tabs>
    </w:pPr>
    <w:rPr>
      <w:rFonts w:cs="Times New Roman" w:eastAsia="Times"/>
      <w:sz w:val="16"/>
      <w:szCs w:val="20"/>
      <w:lang w:eastAsia="pt-BR" w:val="en-US"/>
    </w:rPr>
  </w:style>
  <w:style w:styleId="style44" w:type="paragraph">
    <w:name w:val="Balloon Text"/>
    <w:basedOn w:val="style0"/>
    <w:next w:val="style44"/>
    <w:pPr/>
    <w:rPr>
      <w:rFonts w:ascii="Tahoma" w:cs="Tahoma" w:hAnsi="Tahoma"/>
      <w:sz w:val="16"/>
      <w:szCs w:val="16"/>
    </w:rPr>
  </w:style>
  <w:style w:styleId="style45" w:type="paragraph">
    <w:name w:val="Tabela"/>
    <w:basedOn w:val="style0"/>
    <w:next w:val="style45"/>
    <w:pPr/>
    <w:rPr>
      <w:rFonts w:cs="Times New Roman" w:eastAsia="Times"/>
      <w:sz w:val="16"/>
      <w:szCs w:val="16"/>
      <w:lang w:eastAsia="pt-BR"/>
    </w:rPr>
  </w:style>
  <w:style w:styleId="style46" w:type="paragraph">
    <w:name w:val="Título principal"/>
    <w:basedOn w:val="style0"/>
    <w:next w:val="style47"/>
    <w:pPr>
      <w:widowControl w:val="false"/>
      <w:jc w:val="center"/>
    </w:pPr>
    <w:rPr>
      <w:rFonts w:cs="Times New Roman" w:eastAsia="Times New Roman"/>
      <w:b/>
      <w:bCs/>
      <w:sz w:val="28"/>
      <w:szCs w:val="20"/>
      <w:lang w:val="en-US"/>
    </w:rPr>
  </w:style>
  <w:style w:styleId="style47" w:type="paragraph">
    <w:name w:val="Subtítulo"/>
    <w:basedOn w:val="style36"/>
    <w:next w:val="style37"/>
    <w:pPr>
      <w:jc w:val="center"/>
    </w:pPr>
    <w:rPr>
      <w:i/>
      <w:iCs/>
      <w:sz w:val="28"/>
      <w:szCs w:val="28"/>
    </w:rPr>
  </w:style>
  <w:style w:styleId="style48" w:type="paragraph">
    <w:name w:val="Sumário 1"/>
    <w:basedOn w:val="style0"/>
    <w:next w:val="style48"/>
    <w:pPr>
      <w:tabs>
        <w:tab w:leader="dot" w:pos="9638" w:val="right"/>
      </w:tabs>
      <w:spacing w:after="120" w:before="120"/>
      <w:ind w:hanging="0" w:left="0" w:right="0"/>
      <w:contextualSpacing w:val="false"/>
    </w:pPr>
    <w:rPr>
      <w:rFonts w:ascii="Times New Roman" w:cs="Times New Roman" w:eastAsia="Times New Roman" w:hAnsi="Times New Roman"/>
      <w:b/>
      <w:bCs/>
      <w:caps/>
      <w:sz w:val="24"/>
      <w:szCs w:val="24"/>
      <w:lang w:val="en-US"/>
    </w:rPr>
  </w:style>
  <w:style w:styleId="style49" w:type="paragraph">
    <w:name w:val="Sumário 2"/>
    <w:basedOn w:val="style0"/>
    <w:next w:val="style49"/>
    <w:pPr>
      <w:tabs>
        <w:tab w:leader="dot" w:pos="9595" w:val="right"/>
      </w:tabs>
      <w:ind w:hanging="0" w:left="240" w:right="0"/>
    </w:pPr>
    <w:rPr>
      <w:rFonts w:ascii="Times New Roman" w:cs="Times New Roman" w:eastAsia="Times New Roman" w:hAnsi="Times New Roman"/>
      <w:smallCaps/>
      <w:sz w:val="24"/>
      <w:szCs w:val="24"/>
      <w:lang w:val="en-US"/>
    </w:rPr>
  </w:style>
  <w:style w:styleId="style50" w:type="paragraph">
    <w:name w:val="Comments"/>
    <w:basedOn w:val="style43"/>
    <w:next w:val="style50"/>
    <w:pPr/>
    <w:rPr>
      <w:rFonts w:ascii="Calibri" w:hAnsi="Calibri"/>
      <w:lang w:val="pt-BR"/>
    </w:rPr>
  </w:style>
  <w:style w:styleId="style51" w:type="paragraph">
    <w:name w:val="Versões"/>
    <w:next w:val="style51"/>
    <w:pPr>
      <w:widowControl/>
      <w:tabs/>
      <w:suppressAutoHyphens w:val="true"/>
      <w:spacing w:after="0" w:before="0" w:line="100" w:lineRule="atLeast"/>
      <w:contextualSpacing w:val="false"/>
      <w:jc w:val="center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52" w:type="paragraph">
    <w:name w:val="Título do sumário"/>
    <w:basedOn w:val="style1"/>
    <w:next w:val="style52"/>
    <w:pPr>
      <w:suppressLineNumbers/>
      <w:spacing w:after="0" w:before="240" w:line="256" w:lineRule="auto"/>
      <w:contextualSpacing w:val="false"/>
    </w:pPr>
    <w:rPr>
      <w:b w:val="false"/>
      <w:bCs w:val="false"/>
      <w:sz w:val="32"/>
      <w:szCs w:val="32"/>
      <w:u w:val="none"/>
      <w:lang w:eastAsia="pt-BR"/>
    </w:rPr>
  </w:style>
  <w:style w:styleId="style53" w:type="paragraph">
    <w:name w:val="Sumário 3"/>
    <w:basedOn w:val="style0"/>
    <w:next w:val="style53"/>
    <w:pPr>
      <w:tabs>
        <w:tab w:leader="dot" w:pos="9512" w:val="right"/>
      </w:tabs>
      <w:spacing w:after="100" w:before="0"/>
      <w:ind w:hanging="0" w:left="440" w:right="0"/>
      <w:contextualSpacing w:val="false"/>
    </w:pPr>
    <w:rPr/>
  </w:style>
  <w:style w:styleId="style54" w:type="paragraph">
    <w:name w:val="List Paragraph"/>
    <w:basedOn w:val="style0"/>
    <w:next w:val="style54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scritoriodeprojetos.com.br/SharedFiles/Download.aspx?pageid=92&amp;mid=24&amp;fileid=2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escritoriodeprojetos.com.br/plano-de-gerenciamento-da-qualidade.aspx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yperlink" Target="http://escritoriodeprojetos.com.br/controlar-a-qualidade.aspx" TargetMode="External"/><Relationship Id="rId9" Type="http://schemas.openxmlformats.org/officeDocument/2006/relationships/hyperlink" Target="http://escritoriodeprojetos.com.br/SharedFiles/Download.aspx?pageid=92&amp;fileid=855&amp;mid=24" TargetMode="External"/><Relationship Id="rId10" Type="http://schemas.openxmlformats.org/officeDocument/2006/relationships/hyperlink" Target="http://escritoriodeprojetos.com.br/SharedFiles/Download.aspx?pageid=26&amp;mid=89&amp;fileid=854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escritoriodeprojetos.com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555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2011-09-20T13:43:00.00Z</dcterms:created>
  <dc:creator>eduardo@escritoriodeprojetos.com.br</dc:creator>
  <cp:keywords>Template Gerenciamento de Projetos Plano de Qualidade</cp:keywords>
  <cp:lastModifiedBy>Eduardo Montes</cp:lastModifiedBy>
  <dcterms:modified xsi:type="dcterms:W3CDTF">2016-02-10T19:08:00.00Z</dcterms:modified>
  <cp:revision>31</cp:revision>
  <dc:subject>Atendimento rápido no Call Center</dc:subject>
  <dc:title>Plano de gerenciamento da qualidade</dc:title>
</cp:coreProperties>
</file>